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2DA21977"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320D20" w:rsidRPr="0003743E">
        <w:rPr>
          <w:rFonts w:ascii="Lato" w:hAnsi="Lato" w:cs="Arial"/>
        </w:rPr>
        <w:t xml:space="preserve"> </w:t>
      </w:r>
      <w:r w:rsidR="000C3BCE">
        <w:rPr>
          <w:rFonts w:ascii="Lato" w:hAnsi="Lato" w:cs="Arial"/>
        </w:rPr>
        <w:tab/>
      </w:r>
      <w:r w:rsidR="00BA393B">
        <w:rPr>
          <w:rFonts w:ascii="Lato" w:hAnsi="Lato" w:cs="Arial"/>
        </w:rPr>
        <w:t>Head of Governance and Compliance</w:t>
      </w:r>
    </w:p>
    <w:p w14:paraId="0A37501D" w14:textId="77777777" w:rsidR="00446236" w:rsidRDefault="00446236" w:rsidP="002A04E5">
      <w:pPr>
        <w:autoSpaceDE w:val="0"/>
        <w:autoSpaceDN w:val="0"/>
        <w:adjustRightInd w:val="0"/>
        <w:jc w:val="both"/>
        <w:rPr>
          <w:rFonts w:ascii="Lato" w:hAnsi="Lato" w:cs="Arial"/>
        </w:rPr>
      </w:pPr>
    </w:p>
    <w:p w14:paraId="27122142" w14:textId="3C54B9A4" w:rsidR="00446236" w:rsidRPr="00446236" w:rsidRDefault="00446236" w:rsidP="3E4E433E">
      <w:pPr>
        <w:autoSpaceDE w:val="0"/>
        <w:autoSpaceDN w:val="0"/>
        <w:adjustRightInd w:val="0"/>
        <w:jc w:val="both"/>
        <w:rPr>
          <w:rFonts w:ascii="Lato" w:hAnsi="Lato" w:cs="Arial"/>
          <w:b/>
          <w:bCs/>
        </w:rPr>
      </w:pPr>
      <w:r w:rsidRPr="3E4E433E">
        <w:rPr>
          <w:rFonts w:ascii="Lato" w:hAnsi="Lato" w:cs="Arial"/>
          <w:b/>
          <w:bCs/>
        </w:rPr>
        <w:t xml:space="preserve">LOCATION/BASED: </w:t>
      </w:r>
      <w:r>
        <w:tab/>
      </w:r>
      <w:r w:rsidR="00BA393B" w:rsidRPr="3E4E433E">
        <w:rPr>
          <w:rFonts w:ascii="Lato" w:hAnsi="Lato" w:cs="Arial"/>
        </w:rPr>
        <w:t>Trust Head Office</w:t>
      </w:r>
      <w:r w:rsidR="0477A172" w:rsidRPr="3E4E433E">
        <w:rPr>
          <w:rFonts w:ascii="Lato" w:hAnsi="Lato" w:cs="Arial"/>
        </w:rPr>
        <w:t xml:space="preserve"> </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269D56F7" w:rsidR="006B47C8" w:rsidRPr="0003743E" w:rsidRDefault="004916F6" w:rsidP="002A04E5">
      <w:pPr>
        <w:autoSpaceDE w:val="0"/>
        <w:autoSpaceDN w:val="0"/>
        <w:adjustRightInd w:val="0"/>
        <w:jc w:val="both"/>
        <w:rPr>
          <w:rFonts w:ascii="Lato" w:hAnsi="Lato" w:cs="Arial"/>
          <w:b/>
          <w:bCs/>
        </w:rPr>
      </w:pPr>
      <w:r w:rsidRPr="3E4E433E">
        <w:rPr>
          <w:rFonts w:ascii="Lato" w:hAnsi="Lato" w:cs="Arial"/>
          <w:b/>
          <w:bCs/>
        </w:rPr>
        <w:t>GRADE:</w:t>
      </w:r>
      <w:r>
        <w:tab/>
      </w:r>
      <w:r>
        <w:tab/>
      </w:r>
      <w:r>
        <w:tab/>
      </w:r>
      <w:r w:rsidR="00BA393B" w:rsidRPr="3E4E433E">
        <w:rPr>
          <w:rFonts w:ascii="Lato" w:hAnsi="Lato" w:cs="Arial"/>
        </w:rPr>
        <w:t>N11</w:t>
      </w:r>
      <w: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492CFB1E" w:rsidR="006B47C8" w:rsidRPr="0003743E" w:rsidRDefault="006B47C8" w:rsidP="009F6236">
      <w:pPr>
        <w:autoSpaceDE w:val="0"/>
        <w:autoSpaceDN w:val="0"/>
        <w:adjustRightInd w:val="0"/>
        <w:ind w:left="2880" w:hanging="2880"/>
        <w:rPr>
          <w:rFonts w:ascii="Lato" w:hAnsi="Lato" w:cs="Arial"/>
        </w:rPr>
      </w:pPr>
      <w:r w:rsidRPr="3E4E433E">
        <w:rPr>
          <w:rFonts w:ascii="Lato" w:hAnsi="Lato" w:cs="Arial"/>
          <w:b/>
          <w:bCs/>
        </w:rPr>
        <w:t>RESPONSIBLE TO</w:t>
      </w:r>
      <w:r w:rsidR="004916F6" w:rsidRPr="3E4E433E">
        <w:rPr>
          <w:rFonts w:ascii="Lato" w:hAnsi="Lato" w:cs="Arial"/>
          <w:b/>
          <w:bCs/>
        </w:rPr>
        <w:t>:</w:t>
      </w:r>
      <w:r>
        <w:tab/>
      </w:r>
      <w:r w:rsidR="00BA393B" w:rsidRPr="3E4E433E">
        <w:rPr>
          <w:rFonts w:ascii="Lato" w:hAnsi="Lato" w:cs="Arial"/>
        </w:rPr>
        <w:t>Deputy Chief Operating Officer</w:t>
      </w:r>
    </w:p>
    <w:p w14:paraId="6A05A809" w14:textId="77777777" w:rsidR="006B47C8" w:rsidRPr="0003743E" w:rsidRDefault="006B47C8" w:rsidP="002A04E5">
      <w:pPr>
        <w:autoSpaceDE w:val="0"/>
        <w:autoSpaceDN w:val="0"/>
        <w:adjustRightInd w:val="0"/>
        <w:jc w:val="both"/>
        <w:rPr>
          <w:rFonts w:ascii="Lato" w:hAnsi="Lato" w:cs="Arial"/>
          <w:b/>
          <w:bCs/>
        </w:rPr>
      </w:pPr>
    </w:p>
    <w:p w14:paraId="5475C57E" w14:textId="77777777" w:rsidR="001C2E30" w:rsidRDefault="0003743E" w:rsidP="001C2E30">
      <w:pPr>
        <w:autoSpaceDE w:val="0"/>
        <w:autoSpaceDN w:val="0"/>
        <w:adjustRightInd w:val="0"/>
        <w:jc w:val="both"/>
        <w:rPr>
          <w:rFonts w:ascii="Lato" w:hAnsi="Lato" w:cs="Arial"/>
          <w:b/>
          <w:bCs/>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p>
    <w:p w14:paraId="219B9874" w14:textId="77777777" w:rsidR="001C2E30" w:rsidRDefault="001C2E30" w:rsidP="001C2E30">
      <w:pPr>
        <w:autoSpaceDE w:val="0"/>
        <w:autoSpaceDN w:val="0"/>
        <w:adjustRightInd w:val="0"/>
        <w:jc w:val="both"/>
        <w:rPr>
          <w:rFonts w:ascii="Lato" w:hAnsi="Lato" w:cs="Arial"/>
          <w:b/>
          <w:bCs/>
        </w:rPr>
      </w:pPr>
    </w:p>
    <w:p w14:paraId="0AF63817" w14:textId="74312602" w:rsidR="001C2E30" w:rsidRDefault="001C2E30" w:rsidP="001C2E30">
      <w:pPr>
        <w:autoSpaceDE w:val="0"/>
        <w:autoSpaceDN w:val="0"/>
        <w:adjustRightInd w:val="0"/>
        <w:jc w:val="both"/>
        <w:rPr>
          <w:rFonts w:ascii="Lato" w:eastAsia="Calibri" w:hAnsi="Lato" w:cs="Calibri"/>
          <w:color w:val="000000"/>
          <w:lang w:val="en-GB" w:eastAsia="en-GB"/>
        </w:rPr>
      </w:pPr>
      <w:r>
        <w:rPr>
          <w:rFonts w:ascii="Lato" w:hAnsi="Lato" w:cs="Arial"/>
        </w:rPr>
        <w:t xml:space="preserve">The Head of Governance and Compliance will have responsibility for developing the Gosforth Group </w:t>
      </w:r>
      <w:r w:rsidRPr="00212055">
        <w:rPr>
          <w:rFonts w:ascii="Lato" w:eastAsia="Calibri" w:hAnsi="Lato" w:cs="Calibri"/>
          <w:color w:val="000000"/>
          <w:lang w:val="en-GB" w:eastAsia="en-GB"/>
        </w:rPr>
        <w:t xml:space="preserve">governance </w:t>
      </w:r>
      <w:r>
        <w:rPr>
          <w:rFonts w:ascii="Lato" w:eastAsia="Calibri" w:hAnsi="Lato" w:cs="Calibri"/>
          <w:color w:val="000000"/>
          <w:lang w:val="en-GB" w:eastAsia="en-GB"/>
        </w:rPr>
        <w:t>and compliance f</w:t>
      </w:r>
      <w:r w:rsidRPr="00212055">
        <w:rPr>
          <w:rFonts w:ascii="Lato" w:eastAsia="Calibri" w:hAnsi="Lato" w:cs="Calibri"/>
          <w:color w:val="000000"/>
          <w:lang w:val="en-GB" w:eastAsia="en-GB"/>
        </w:rPr>
        <w:t>ramework and</w:t>
      </w:r>
      <w:r>
        <w:rPr>
          <w:rFonts w:ascii="Lato" w:eastAsia="Calibri" w:hAnsi="Lato" w:cs="Calibri"/>
          <w:color w:val="000000"/>
          <w:lang w:val="en-GB" w:eastAsia="en-GB"/>
        </w:rPr>
        <w:t xml:space="preserve"> will </w:t>
      </w:r>
      <w:r w:rsidRPr="00212055">
        <w:rPr>
          <w:rFonts w:ascii="Lato" w:eastAsia="Calibri" w:hAnsi="Lato" w:cs="Calibri"/>
          <w:color w:val="000000"/>
          <w:lang w:val="en-GB" w:eastAsia="en-GB"/>
        </w:rPr>
        <w:t>demonstrat</w:t>
      </w:r>
      <w:r>
        <w:rPr>
          <w:rFonts w:ascii="Lato" w:eastAsia="Calibri" w:hAnsi="Lato" w:cs="Calibri"/>
          <w:color w:val="000000"/>
          <w:lang w:val="en-GB" w:eastAsia="en-GB"/>
        </w:rPr>
        <w:t>e</w:t>
      </w:r>
      <w:r w:rsidRPr="00212055">
        <w:rPr>
          <w:rFonts w:ascii="Lato" w:eastAsia="Calibri" w:hAnsi="Lato" w:cs="Calibri"/>
          <w:color w:val="000000"/>
          <w:lang w:val="en-GB" w:eastAsia="en-GB"/>
        </w:rPr>
        <w:t xml:space="preserve"> a strong understanding of the Trust’s governance structure, constitution, procedures, schemes of delegation and other key documents</w:t>
      </w:r>
      <w:r>
        <w:rPr>
          <w:rFonts w:ascii="Lato" w:eastAsia="Calibri" w:hAnsi="Lato" w:cs="Calibri"/>
          <w:color w:val="000000"/>
          <w:lang w:val="en-GB" w:eastAsia="en-GB"/>
        </w:rPr>
        <w:t xml:space="preserve">; ensuring </w:t>
      </w:r>
      <w:r w:rsidRPr="00212055">
        <w:rPr>
          <w:rFonts w:ascii="Lato" w:eastAsia="Calibri" w:hAnsi="Lato" w:cs="Calibri"/>
          <w:color w:val="000000"/>
          <w:lang w:val="en-GB" w:eastAsia="en-GB"/>
        </w:rPr>
        <w:t>governance is delivered in line with these</w:t>
      </w:r>
      <w:r>
        <w:rPr>
          <w:rFonts w:ascii="Lato" w:eastAsia="Calibri" w:hAnsi="Lato" w:cs="Calibri"/>
          <w:color w:val="000000"/>
          <w:lang w:val="en-GB" w:eastAsia="en-GB"/>
        </w:rPr>
        <w:t>.</w:t>
      </w:r>
    </w:p>
    <w:p w14:paraId="5A39BBE3" w14:textId="23783D7B" w:rsidR="00111719" w:rsidRPr="0003743E" w:rsidRDefault="00D82076" w:rsidP="00BA393B">
      <w:pPr>
        <w:autoSpaceDE w:val="0"/>
        <w:autoSpaceDN w:val="0"/>
        <w:adjustRightInd w:val="0"/>
        <w:ind w:left="2880" w:hanging="2880"/>
        <w:jc w:val="both"/>
        <w:rPr>
          <w:rFonts w:ascii="Lato" w:hAnsi="Lato" w:cs="Calibri"/>
        </w:rPr>
      </w:pPr>
      <w:r w:rsidRPr="0003743E">
        <w:rPr>
          <w:rFonts w:ascii="Lato" w:hAnsi="Lato" w:cs="Arial"/>
          <w:b/>
          <w:bCs/>
        </w:rPr>
        <w:tab/>
      </w: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5A2ADFFC" w14:textId="77777777" w:rsidR="001C2E30" w:rsidRPr="00A446C5" w:rsidRDefault="001C2E30" w:rsidP="001C2E30">
      <w:pPr>
        <w:autoSpaceDE w:val="0"/>
        <w:autoSpaceDN w:val="0"/>
        <w:adjustRightInd w:val="0"/>
        <w:jc w:val="both"/>
        <w:rPr>
          <w:rFonts w:ascii="Lato" w:hAnsi="Lato" w:cs="Arial"/>
          <w:b/>
        </w:rPr>
      </w:pPr>
      <w:r w:rsidRPr="00A446C5">
        <w:rPr>
          <w:rFonts w:ascii="Lato" w:hAnsi="Lato" w:cs="Arial"/>
          <w:b/>
        </w:rPr>
        <w:t xml:space="preserve">Governance management </w:t>
      </w:r>
    </w:p>
    <w:p w14:paraId="39DFAAF4" w14:textId="77777777" w:rsidR="001C2E30" w:rsidRPr="00A446C5" w:rsidRDefault="001C2E30" w:rsidP="001C2E30">
      <w:pPr>
        <w:autoSpaceDE w:val="0"/>
        <w:autoSpaceDN w:val="0"/>
        <w:adjustRightInd w:val="0"/>
        <w:ind w:left="426" w:hanging="426"/>
        <w:jc w:val="both"/>
        <w:rPr>
          <w:rFonts w:ascii="Lato" w:hAnsi="Lato" w:cs="Arial"/>
          <w:b/>
        </w:rPr>
      </w:pPr>
    </w:p>
    <w:p w14:paraId="54AE1567"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Provide advice and support to the CEO and the Board of Trustees on all aspects of corporate governance, regulation and effective business conduct for the organisation, ensuring the highest standards of probity</w:t>
      </w:r>
    </w:p>
    <w:p w14:paraId="3577E430"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5379E21F"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Responsible for ensuring the Trust complies with relevant legal, constitutional, and regulatory requirements associated with the governance of the multi academy trust, ensuring the effective operation of corporate governance supporting the board of trustees, its sub-committees and academy advisory groups</w:t>
      </w:r>
    </w:p>
    <w:p w14:paraId="05E4B38E"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31C8FE77"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Facilitate the strategic development of governance across the Trust working closely with the Chair of Trustees taking the lead on developing new systems and effective ways of working and leading specific governance projects</w:t>
      </w:r>
    </w:p>
    <w:p w14:paraId="06D6F7B2" w14:textId="77777777" w:rsidR="001C2E30" w:rsidRPr="00A446C5" w:rsidRDefault="001C2E30" w:rsidP="001C2E30">
      <w:pPr>
        <w:pStyle w:val="ListParagraph"/>
        <w:ind w:left="426" w:hanging="426"/>
        <w:rPr>
          <w:rFonts w:ascii="Lato" w:hAnsi="Lato" w:cs="Arial"/>
          <w:sz w:val="12"/>
          <w:szCs w:val="12"/>
        </w:rPr>
      </w:pPr>
    </w:p>
    <w:p w14:paraId="7FE920AE"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 xml:space="preserve">Provide professional advice and guidance in the development of policies and processes to ensure the effective operation of Gosforth Group governance structures </w:t>
      </w:r>
    </w:p>
    <w:p w14:paraId="2D97BC2E" w14:textId="77777777" w:rsidR="001C2E30" w:rsidRPr="00A446C5" w:rsidRDefault="001C2E30" w:rsidP="001C2E30">
      <w:pPr>
        <w:pStyle w:val="ListParagraph"/>
        <w:ind w:left="426" w:hanging="426"/>
        <w:rPr>
          <w:rFonts w:ascii="Lato" w:hAnsi="Lato" w:cs="Arial"/>
          <w:sz w:val="12"/>
          <w:szCs w:val="12"/>
        </w:rPr>
      </w:pPr>
    </w:p>
    <w:p w14:paraId="311B0C0D"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Organise, manage arrangements, and clerk board and committee meetings through the preparation of annual meeting schedules, business cycles, agenda and reports, and minutes of meetings; ensuring follow up actions are completed, and appropriate reports and advice are presented to members, trustees, and academy advisors</w:t>
      </w:r>
    </w:p>
    <w:p w14:paraId="75AA124E"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188D3466"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Lead on arrangements for support to Academy Advisory Groups through the negotiation, acquisition and implementation of local authority governance support services and contracts</w:t>
      </w:r>
    </w:p>
    <w:p w14:paraId="7C1FDC7B" w14:textId="77777777" w:rsidR="001C2E30" w:rsidRPr="00A446C5" w:rsidRDefault="001C2E30" w:rsidP="001C2E30">
      <w:pPr>
        <w:pStyle w:val="ListParagraph"/>
        <w:ind w:left="426" w:hanging="426"/>
        <w:rPr>
          <w:rFonts w:ascii="Lato" w:hAnsi="Lato" w:cs="Arial"/>
          <w:sz w:val="12"/>
          <w:szCs w:val="12"/>
        </w:rPr>
      </w:pPr>
      <w:bookmarkStart w:id="0" w:name="_GoBack"/>
      <w:bookmarkEnd w:id="0"/>
    </w:p>
    <w:p w14:paraId="6D5A5A0F"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lastRenderedPageBreak/>
        <w:t xml:space="preserve">Responsible for the compilation and publication of statutory information in relation to members, trustees, and academy advisors, including pen portraits, the register of business and pecuniary interests, and annual governor attendance records, ensuring information is published on the Trust’s and appropriate HM government websites </w:t>
      </w:r>
    </w:p>
    <w:p w14:paraId="3E3DE98F" w14:textId="77777777" w:rsidR="001C2E30" w:rsidRPr="00A446C5" w:rsidRDefault="001C2E30" w:rsidP="001C2E30">
      <w:pPr>
        <w:pStyle w:val="ListParagraph"/>
        <w:ind w:left="426" w:hanging="426"/>
        <w:rPr>
          <w:rFonts w:ascii="Lato" w:hAnsi="Lato" w:cs="Arial"/>
          <w:sz w:val="12"/>
          <w:szCs w:val="12"/>
        </w:rPr>
      </w:pPr>
    </w:p>
    <w:p w14:paraId="6835F361"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Ensure that the Trust board and committee meetings are properly constituted and organised with clear terms of reference, formulating agenda with the Chair, collating and distributing all papers and ensuring draft minutes are distributed in a timely manner</w:t>
      </w:r>
    </w:p>
    <w:p w14:paraId="78C6C7AC" w14:textId="77777777" w:rsidR="001C2E30" w:rsidRPr="00A446C5" w:rsidRDefault="001C2E30" w:rsidP="001C2E30">
      <w:pPr>
        <w:pStyle w:val="ListParagraph"/>
        <w:ind w:left="426" w:hanging="426"/>
        <w:rPr>
          <w:rFonts w:ascii="Lato" w:hAnsi="Lato" w:cs="Arial"/>
          <w:sz w:val="12"/>
          <w:szCs w:val="12"/>
        </w:rPr>
      </w:pPr>
    </w:p>
    <w:p w14:paraId="7CE6FFDA" w14:textId="77777777" w:rsidR="001C2E30" w:rsidRPr="00A446C5" w:rsidRDefault="001C2E30" w:rsidP="001C2E30">
      <w:pPr>
        <w:autoSpaceDE w:val="0"/>
        <w:autoSpaceDN w:val="0"/>
        <w:adjustRightInd w:val="0"/>
        <w:ind w:left="426" w:hanging="426"/>
        <w:jc w:val="both"/>
        <w:rPr>
          <w:rFonts w:ascii="Lato" w:eastAsia="Calibri" w:hAnsi="Lato" w:cs="Calibri"/>
          <w:color w:val="000000"/>
          <w:lang w:val="en-GB" w:eastAsia="en-GB"/>
        </w:rPr>
      </w:pPr>
    </w:p>
    <w:p w14:paraId="44F23D77" w14:textId="77777777" w:rsidR="001C2E30" w:rsidRPr="00A446C5" w:rsidRDefault="001C2E30" w:rsidP="001C2E30">
      <w:pPr>
        <w:autoSpaceDE w:val="0"/>
        <w:autoSpaceDN w:val="0"/>
        <w:adjustRightInd w:val="0"/>
        <w:jc w:val="both"/>
        <w:rPr>
          <w:rFonts w:ascii="Lato" w:eastAsia="Calibri" w:hAnsi="Lato" w:cs="Calibri"/>
          <w:b/>
          <w:color w:val="000000"/>
          <w:lang w:val="en-GB" w:eastAsia="en-GB"/>
        </w:rPr>
      </w:pPr>
      <w:r w:rsidRPr="00A446C5">
        <w:rPr>
          <w:rFonts w:ascii="Lato" w:eastAsia="Calibri" w:hAnsi="Lato" w:cs="Calibri"/>
          <w:b/>
          <w:color w:val="000000"/>
          <w:lang w:val="en-GB" w:eastAsia="en-GB"/>
        </w:rPr>
        <w:t>Compliance framework</w:t>
      </w:r>
    </w:p>
    <w:p w14:paraId="1C2CCE08" w14:textId="77777777" w:rsidR="001C2E30" w:rsidRPr="00A446C5" w:rsidRDefault="001C2E30" w:rsidP="001C2E30">
      <w:pPr>
        <w:autoSpaceDE w:val="0"/>
        <w:autoSpaceDN w:val="0"/>
        <w:adjustRightInd w:val="0"/>
        <w:ind w:left="426" w:hanging="426"/>
        <w:jc w:val="both"/>
        <w:rPr>
          <w:rFonts w:ascii="Lato" w:eastAsia="Calibri" w:hAnsi="Lato" w:cs="Calibri"/>
          <w:color w:val="000000"/>
          <w:lang w:val="en-GB" w:eastAsia="en-GB"/>
        </w:rPr>
      </w:pPr>
    </w:p>
    <w:p w14:paraId="7DE8CD8A"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rPr>
        <w:t>Ensure the organisation and management of governance and board meetings comply with statutory and regulatory requirements and reflect the Trust’s protocols and policies on governance, including having oversight of accurate and timely governance records and controls</w:t>
      </w:r>
    </w:p>
    <w:p w14:paraId="67220FA8" w14:textId="77777777" w:rsidR="001C2E30" w:rsidRPr="00A446C5" w:rsidRDefault="001C2E30" w:rsidP="001C2E30">
      <w:pPr>
        <w:autoSpaceDE w:val="0"/>
        <w:autoSpaceDN w:val="0"/>
        <w:adjustRightInd w:val="0"/>
        <w:ind w:left="426" w:hanging="426"/>
        <w:jc w:val="both"/>
        <w:rPr>
          <w:rFonts w:ascii="Lato" w:eastAsia="Calibri" w:hAnsi="Lato" w:cs="Calibri"/>
          <w:color w:val="000000"/>
          <w:sz w:val="12"/>
          <w:szCs w:val="12"/>
        </w:rPr>
      </w:pPr>
    </w:p>
    <w:p w14:paraId="20BF88DC"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t>Ensure that non-meeting related governance is also compliant with all relevant government legislation, the Charities Act 2011, the Companies Act 2006, DfE/ESFA requirements and funding agreements, and the Academy Trust Handbook</w:t>
      </w:r>
    </w:p>
    <w:p w14:paraId="6EF217D1" w14:textId="77777777" w:rsidR="001C2E30" w:rsidRPr="00A446C5" w:rsidRDefault="001C2E30" w:rsidP="001C2E30">
      <w:pPr>
        <w:ind w:left="426" w:hanging="426"/>
        <w:jc w:val="both"/>
        <w:rPr>
          <w:rFonts w:ascii="Lato" w:eastAsia="Calibri" w:hAnsi="Lato" w:cs="Calibri"/>
          <w:color w:val="000000"/>
          <w:sz w:val="12"/>
          <w:szCs w:val="12"/>
          <w:lang w:val="en-GB" w:eastAsia="en-GB"/>
        </w:rPr>
      </w:pPr>
    </w:p>
    <w:p w14:paraId="58889A18"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Oversee the development and review of the governing documents, policies, and procedures in compliance with legislation, constitutional or regulatory requirements and current best practice</w:t>
      </w:r>
    </w:p>
    <w:p w14:paraId="0B8C7D96" w14:textId="77777777" w:rsidR="001C2E30" w:rsidRPr="00A446C5" w:rsidRDefault="001C2E30" w:rsidP="001C2E30">
      <w:pPr>
        <w:ind w:left="426" w:hanging="426"/>
        <w:jc w:val="both"/>
        <w:rPr>
          <w:rFonts w:ascii="Lato" w:eastAsia="Calibri" w:hAnsi="Lato" w:cs="Calibri"/>
          <w:color w:val="000000"/>
          <w:sz w:val="12"/>
          <w:szCs w:val="12"/>
          <w:lang w:val="en-GB" w:eastAsia="en-GB"/>
        </w:rPr>
      </w:pPr>
    </w:p>
    <w:p w14:paraId="27BAA86E"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t xml:space="preserve">Develop, manage, and maintain the Trust’s risk register and risk management policies in conjunction with the CEO and Chief Operating Officer </w:t>
      </w:r>
    </w:p>
    <w:p w14:paraId="3EDC3BA2" w14:textId="77777777" w:rsidR="001C2E30" w:rsidRPr="00A446C5" w:rsidRDefault="001C2E30" w:rsidP="001C2E30">
      <w:pPr>
        <w:ind w:left="426" w:hanging="426"/>
        <w:jc w:val="both"/>
        <w:rPr>
          <w:rFonts w:ascii="Lato" w:eastAsia="Calibri" w:hAnsi="Lato" w:cs="Calibri"/>
          <w:color w:val="000000"/>
          <w:sz w:val="12"/>
          <w:szCs w:val="12"/>
          <w:lang w:val="en-GB" w:eastAsia="en-GB"/>
        </w:rPr>
      </w:pPr>
    </w:p>
    <w:p w14:paraId="21E88E1F"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t>Be custodian of the Trust’s Articles of Association, Scheme of Delegation and funding agreements, working in conjunction with legal advisors to the Trust, in ensuring all regulatory obligations are fulfilled</w:t>
      </w:r>
    </w:p>
    <w:p w14:paraId="71A0EDB0" w14:textId="49A42057" w:rsidR="001C2E30" w:rsidRPr="00A446C5" w:rsidRDefault="001C2E30" w:rsidP="001C2E30">
      <w:pPr>
        <w:ind w:left="426" w:hanging="426"/>
        <w:jc w:val="both"/>
        <w:rPr>
          <w:rFonts w:ascii="Lato" w:eastAsia="Calibri" w:hAnsi="Lato" w:cs="Calibri"/>
          <w:color w:val="000000"/>
          <w:sz w:val="12"/>
          <w:szCs w:val="12"/>
          <w:lang w:val="en-GB" w:eastAsia="en-GB"/>
        </w:rPr>
      </w:pPr>
    </w:p>
    <w:p w14:paraId="45CB5C24"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Responsible for the development and maintenance of the Trust’s Governance Handbook and governance cycle, ensuring its alignment with strategic and operational planning requirements</w:t>
      </w:r>
    </w:p>
    <w:p w14:paraId="259ABDCD"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3C702A74"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t>Support due diligence activity of new academies joining Gosforth Group, especially in relation to conversion and transfer of governance and compliance arrangements</w:t>
      </w:r>
    </w:p>
    <w:p w14:paraId="36197AD5" w14:textId="77777777" w:rsidR="001C2E30" w:rsidRPr="00A446C5" w:rsidRDefault="001C2E30" w:rsidP="001C2E30">
      <w:pPr>
        <w:pStyle w:val="ListParagraph"/>
        <w:ind w:left="426" w:hanging="426"/>
        <w:jc w:val="both"/>
        <w:rPr>
          <w:rFonts w:ascii="Lato" w:eastAsia="Calibri" w:hAnsi="Lato" w:cs="Calibri"/>
          <w:color w:val="000000"/>
          <w:sz w:val="12"/>
          <w:szCs w:val="12"/>
          <w:lang w:val="en-GB" w:eastAsia="en-GB"/>
        </w:rPr>
      </w:pPr>
    </w:p>
    <w:p w14:paraId="0A8A1D4A"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t>Lead on the co-ordination of key policies across the Trust, including defining which sit at school and Trust-level, and driving the production and updating of central Trust policies</w:t>
      </w:r>
    </w:p>
    <w:p w14:paraId="6F92668A" w14:textId="77777777" w:rsidR="001C2E30" w:rsidRPr="00A446C5" w:rsidRDefault="001C2E30" w:rsidP="001C2E30">
      <w:pPr>
        <w:pStyle w:val="ListParagraph"/>
        <w:ind w:left="426" w:hanging="426"/>
        <w:jc w:val="both"/>
        <w:rPr>
          <w:rFonts w:ascii="Lato" w:eastAsia="Calibri" w:hAnsi="Lato" w:cs="Calibri"/>
          <w:color w:val="000000"/>
          <w:sz w:val="12"/>
          <w:szCs w:val="12"/>
          <w:lang w:val="en-GB" w:eastAsia="en-GB"/>
        </w:rPr>
      </w:pPr>
    </w:p>
    <w:p w14:paraId="5E74A0FC"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t>Development and maintenance of a Trust policy schedule, policy compliance tracker, and quality assurance processes to ensure policy documents meet the required standards</w:t>
      </w:r>
    </w:p>
    <w:p w14:paraId="3B50D045" w14:textId="77777777" w:rsidR="001C2E30" w:rsidRPr="00A446C5" w:rsidRDefault="001C2E30" w:rsidP="001C2E30">
      <w:pPr>
        <w:pStyle w:val="ListParagraph"/>
        <w:ind w:left="426" w:hanging="426"/>
        <w:jc w:val="both"/>
        <w:rPr>
          <w:rFonts w:ascii="Lato" w:eastAsia="Calibri" w:hAnsi="Lato" w:cs="Calibri"/>
          <w:color w:val="000000"/>
          <w:sz w:val="12"/>
          <w:szCs w:val="12"/>
          <w:lang w:val="en-GB" w:eastAsia="en-GB"/>
        </w:rPr>
      </w:pPr>
    </w:p>
    <w:p w14:paraId="2652B00C" w14:textId="77777777" w:rsidR="001C2E30" w:rsidRPr="00A446C5" w:rsidRDefault="001C2E30" w:rsidP="001C2E30">
      <w:pPr>
        <w:numPr>
          <w:ilvl w:val="0"/>
          <w:numId w:val="32"/>
        </w:numPr>
        <w:autoSpaceDE w:val="0"/>
        <w:autoSpaceDN w:val="0"/>
        <w:adjustRightInd w:val="0"/>
        <w:ind w:left="426" w:hanging="426"/>
        <w:jc w:val="both"/>
        <w:rPr>
          <w:rFonts w:ascii="Lato" w:eastAsia="Calibri" w:hAnsi="Lato" w:cs="Calibri"/>
          <w:color w:val="000000"/>
          <w:lang w:val="en-GB" w:eastAsia="en-GB"/>
        </w:rPr>
      </w:pPr>
      <w:r w:rsidRPr="00A446C5">
        <w:rPr>
          <w:rFonts w:ascii="Lato" w:hAnsi="Lato"/>
        </w:rPr>
        <w:t xml:space="preserve">Responsible for managing the recruitment and induction of new representatives to the Trust’s governing boards, promoting diversity, ensuring the Trust’s skills mix is properly maintained and gaps are addressed, and ensuring that appointments are compliant; </w:t>
      </w:r>
      <w:r w:rsidRPr="00A446C5">
        <w:rPr>
          <w:rFonts w:ascii="Lato" w:eastAsia="Calibri" w:hAnsi="Lato" w:cs="Calibri"/>
          <w:color w:val="000000"/>
          <w:lang w:val="en-GB" w:eastAsia="en-GB"/>
        </w:rPr>
        <w:t>acting also as the lead on DBS disclosure checks for all in governance</w:t>
      </w:r>
    </w:p>
    <w:p w14:paraId="4D38930D" w14:textId="77777777" w:rsidR="001C2E30" w:rsidRPr="00A446C5" w:rsidRDefault="001C2E30" w:rsidP="001C2E30">
      <w:pPr>
        <w:pStyle w:val="ListParagraph"/>
        <w:ind w:left="426" w:hanging="426"/>
        <w:jc w:val="both"/>
        <w:rPr>
          <w:rFonts w:ascii="Lato" w:eastAsia="Calibri" w:hAnsi="Lato" w:cs="Calibri"/>
          <w:color w:val="000000"/>
          <w:sz w:val="12"/>
          <w:szCs w:val="12"/>
          <w:lang w:val="en-GB" w:eastAsia="en-GB"/>
        </w:rPr>
      </w:pPr>
    </w:p>
    <w:p w14:paraId="0E6E39A2"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35A5C283" w14:textId="77777777" w:rsidR="001C2E30" w:rsidRPr="00A446C5" w:rsidRDefault="001C2E30" w:rsidP="001C2E30">
      <w:pPr>
        <w:numPr>
          <w:ilvl w:val="0"/>
          <w:numId w:val="32"/>
        </w:numPr>
        <w:ind w:left="426" w:hanging="426"/>
        <w:jc w:val="both"/>
        <w:rPr>
          <w:rFonts w:ascii="Lato" w:eastAsia="Calibri" w:hAnsi="Lato" w:cs="Calibri"/>
          <w:color w:val="000000"/>
          <w:lang w:val="en-GB" w:eastAsia="en-GB"/>
        </w:rPr>
      </w:pPr>
      <w:r w:rsidRPr="00A446C5">
        <w:rPr>
          <w:rFonts w:ascii="Lato" w:eastAsia="Calibri" w:hAnsi="Lato" w:cs="Calibri"/>
          <w:color w:val="000000"/>
          <w:lang w:val="en-GB" w:eastAsia="en-GB"/>
        </w:rPr>
        <w:lastRenderedPageBreak/>
        <w:t>Ensure governance and policy information is accurately published on the Trust and school websites and is compliant with statutory requirements</w:t>
      </w:r>
    </w:p>
    <w:p w14:paraId="3323DA15" w14:textId="77777777" w:rsidR="001C2E30" w:rsidRPr="00A446C5" w:rsidRDefault="001C2E30" w:rsidP="001C2E30">
      <w:pPr>
        <w:pStyle w:val="ListParagraph"/>
        <w:ind w:left="426" w:hanging="426"/>
        <w:jc w:val="both"/>
        <w:rPr>
          <w:rFonts w:ascii="Lato" w:eastAsia="Calibri" w:hAnsi="Lato" w:cs="Calibri"/>
          <w:color w:val="000000"/>
          <w:sz w:val="12"/>
          <w:szCs w:val="12"/>
          <w:lang w:val="en-GB" w:eastAsia="en-GB"/>
        </w:rPr>
      </w:pPr>
    </w:p>
    <w:p w14:paraId="01721DD7"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Ensure that all statutory registers are maintained, and regulatory returns are completed and submitted to the Trust’s regulatory bodies, including the maintenance and filing of Trust records with Companies House and the DfE</w:t>
      </w:r>
    </w:p>
    <w:p w14:paraId="11EF7C27" w14:textId="77777777" w:rsidR="001C2E30" w:rsidRPr="00A446C5" w:rsidRDefault="001C2E30" w:rsidP="001C2E30">
      <w:pPr>
        <w:autoSpaceDE w:val="0"/>
        <w:autoSpaceDN w:val="0"/>
        <w:adjustRightInd w:val="0"/>
        <w:ind w:left="426" w:hanging="426"/>
        <w:jc w:val="both"/>
        <w:rPr>
          <w:rFonts w:ascii="Lato" w:hAnsi="Lato" w:cs="Arial"/>
        </w:rPr>
      </w:pPr>
    </w:p>
    <w:p w14:paraId="2B7A9CBE"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Calibri"/>
          <w:color w:val="000000"/>
          <w:bdr w:val="none" w:sz="0" w:space="0" w:color="auto" w:frame="1"/>
        </w:rPr>
        <w:t>Act as the primary point of contact regarding complaints, including oversight of the management and administration of complaints, and compliance with the Trust’s complaints procedures</w:t>
      </w:r>
    </w:p>
    <w:p w14:paraId="19DBE953" w14:textId="77777777" w:rsidR="001C2E30" w:rsidRPr="00A446C5" w:rsidRDefault="001C2E30" w:rsidP="001C2E30">
      <w:pPr>
        <w:autoSpaceDE w:val="0"/>
        <w:autoSpaceDN w:val="0"/>
        <w:adjustRightInd w:val="0"/>
        <w:ind w:left="426" w:hanging="426"/>
        <w:jc w:val="both"/>
        <w:rPr>
          <w:rFonts w:ascii="Lato" w:hAnsi="Lato" w:cs="Arial"/>
        </w:rPr>
      </w:pPr>
    </w:p>
    <w:p w14:paraId="2492CB24" w14:textId="77777777" w:rsidR="001C2E30" w:rsidRPr="00A446C5" w:rsidRDefault="001C2E30" w:rsidP="001C2E30">
      <w:pPr>
        <w:autoSpaceDE w:val="0"/>
        <w:autoSpaceDN w:val="0"/>
        <w:adjustRightInd w:val="0"/>
        <w:jc w:val="both"/>
        <w:rPr>
          <w:rFonts w:ascii="Lato" w:hAnsi="Lato" w:cs="Arial"/>
          <w:b/>
        </w:rPr>
      </w:pPr>
      <w:r w:rsidRPr="00A446C5">
        <w:rPr>
          <w:rFonts w:ascii="Lato" w:hAnsi="Lato" w:cs="Arial"/>
          <w:b/>
        </w:rPr>
        <w:t>Company secretarial practice</w:t>
      </w:r>
    </w:p>
    <w:p w14:paraId="2E87E5D4" w14:textId="77777777" w:rsidR="001C2E30" w:rsidRPr="00A446C5" w:rsidRDefault="001C2E30" w:rsidP="001C2E30">
      <w:pPr>
        <w:autoSpaceDE w:val="0"/>
        <w:autoSpaceDN w:val="0"/>
        <w:adjustRightInd w:val="0"/>
        <w:ind w:left="426" w:hanging="426"/>
        <w:jc w:val="both"/>
        <w:rPr>
          <w:rFonts w:ascii="Lato" w:hAnsi="Lato" w:cs="Arial"/>
        </w:rPr>
      </w:pPr>
    </w:p>
    <w:p w14:paraId="2E88CB9F"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Ensure that meetings of the Board of Trustees and its committees run efficiently and effectively, are properly recorded, and that trustees receive appropriate support to fulfil their legal duties</w:t>
      </w:r>
    </w:p>
    <w:p w14:paraId="50F86D89"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658F1000" w14:textId="0B961268" w:rsidR="001C2E30" w:rsidRPr="00A446C5" w:rsidRDefault="001C2E30" w:rsidP="001C2E30">
      <w:pPr>
        <w:numPr>
          <w:ilvl w:val="0"/>
          <w:numId w:val="32"/>
        </w:numPr>
        <w:autoSpaceDE w:val="0"/>
        <w:autoSpaceDN w:val="0"/>
        <w:adjustRightInd w:val="0"/>
        <w:ind w:left="426" w:hanging="426"/>
        <w:jc w:val="both"/>
        <w:rPr>
          <w:rFonts w:ascii="Lato" w:hAnsi="Lato" w:cs="Arial"/>
        </w:rPr>
      </w:pPr>
      <w:r w:rsidRPr="3E4E433E">
        <w:rPr>
          <w:rFonts w:ascii="Lato" w:hAnsi="Lato" w:cs="Arial"/>
        </w:rPr>
        <w:t xml:space="preserve">Lead on the organisation, implementation of governance elections, ensuring the highest standards of conduct and compliance with the Academy Trust Handbook; </w:t>
      </w:r>
      <w:r w:rsidR="6444CE18" w:rsidRPr="3E4E433E">
        <w:rPr>
          <w:rFonts w:ascii="Lato" w:hAnsi="Lato" w:cs="Arial"/>
        </w:rPr>
        <w:t>safeguarding proper</w:t>
      </w:r>
      <w:r w:rsidRPr="3E4E433E">
        <w:rPr>
          <w:rFonts w:ascii="Lato" w:hAnsi="Lato" w:cs="Arial"/>
        </w:rPr>
        <w:t xml:space="preserve"> procedures for the election and appointment of Members, Trustees and Academy Advisors</w:t>
      </w:r>
    </w:p>
    <w:p w14:paraId="3C65AF76" w14:textId="77777777" w:rsidR="001C2E30" w:rsidRPr="00A446C5" w:rsidRDefault="001C2E30" w:rsidP="001C2E30">
      <w:pPr>
        <w:pStyle w:val="ListParagraph"/>
        <w:ind w:left="426" w:hanging="426"/>
        <w:rPr>
          <w:rFonts w:ascii="Lato" w:hAnsi="Lato" w:cs="Arial"/>
          <w:sz w:val="12"/>
          <w:szCs w:val="12"/>
        </w:rPr>
      </w:pPr>
    </w:p>
    <w:p w14:paraId="24090514"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Assess the training needs of Members, Trustees and Academy Advisors through the development of skills audits and training and development plans</w:t>
      </w:r>
    </w:p>
    <w:p w14:paraId="0914A77C" w14:textId="77777777" w:rsidR="001C2E30" w:rsidRPr="00A446C5" w:rsidRDefault="001C2E30" w:rsidP="001C2E30">
      <w:pPr>
        <w:pStyle w:val="ListParagraph"/>
        <w:ind w:left="426" w:hanging="426"/>
        <w:rPr>
          <w:rFonts w:ascii="Lato" w:hAnsi="Lato" w:cs="Arial"/>
          <w:sz w:val="12"/>
          <w:szCs w:val="12"/>
        </w:rPr>
      </w:pPr>
    </w:p>
    <w:p w14:paraId="786A0401"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Lead on the statutory requirement to carry our regular external reviews of governance as set out in the Governance handbook to improve the Board’s performance to enhance effective decision making and to test compliance with mandatory requirements</w:t>
      </w:r>
    </w:p>
    <w:p w14:paraId="162890E7" w14:textId="77777777" w:rsidR="001C2E30" w:rsidRPr="00A446C5" w:rsidRDefault="001C2E30" w:rsidP="001C2E30">
      <w:pPr>
        <w:pStyle w:val="ListParagraph"/>
        <w:ind w:left="426" w:hanging="426"/>
        <w:rPr>
          <w:rFonts w:ascii="Lato" w:hAnsi="Lato" w:cs="Arial"/>
          <w:sz w:val="12"/>
          <w:szCs w:val="12"/>
        </w:rPr>
      </w:pPr>
    </w:p>
    <w:p w14:paraId="2D4BAF2F"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Advise the Board on an appropriate approach to reviewing board performance and facilitating board evaluation in line with Ofsted requirements, the academies regulation and commissioning review, and the Department for Education’s trust quality descriptors</w:t>
      </w:r>
    </w:p>
    <w:p w14:paraId="4B8C5991" w14:textId="77777777" w:rsidR="001C2E30" w:rsidRPr="00A446C5" w:rsidRDefault="001C2E30" w:rsidP="001C2E30">
      <w:pPr>
        <w:autoSpaceDE w:val="0"/>
        <w:autoSpaceDN w:val="0"/>
        <w:adjustRightInd w:val="0"/>
        <w:ind w:left="426" w:hanging="426"/>
        <w:jc w:val="both"/>
        <w:rPr>
          <w:rFonts w:ascii="Lato" w:hAnsi="Lato" w:cs="Arial"/>
          <w:sz w:val="12"/>
          <w:szCs w:val="12"/>
        </w:rPr>
      </w:pPr>
    </w:p>
    <w:p w14:paraId="6254F20E"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Assist in the implementation of corporate strategies by ensuring the Board’s decisions and instructions are properly communicated and carried out, providing a central source of guidance on matters of business ethics</w:t>
      </w:r>
    </w:p>
    <w:p w14:paraId="6FD6EFE1" w14:textId="77777777" w:rsidR="001C2E30" w:rsidRPr="00A446C5" w:rsidRDefault="001C2E30" w:rsidP="001C2E30">
      <w:pPr>
        <w:pStyle w:val="ListParagraph"/>
        <w:ind w:left="426" w:hanging="426"/>
        <w:rPr>
          <w:rFonts w:ascii="Lato" w:hAnsi="Lato" w:cs="Arial"/>
          <w:sz w:val="12"/>
          <w:szCs w:val="12"/>
        </w:rPr>
      </w:pPr>
    </w:p>
    <w:p w14:paraId="23BD810D"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Lead the process of non-financial compliance with the Trust’s Articles of Association including the review and implementation of any required and approved changes</w:t>
      </w:r>
    </w:p>
    <w:p w14:paraId="380CA25F" w14:textId="77777777" w:rsidR="001C2E30" w:rsidRPr="00A446C5" w:rsidRDefault="001C2E30" w:rsidP="001C2E30">
      <w:pPr>
        <w:pStyle w:val="ListParagraph"/>
        <w:ind w:left="426" w:hanging="426"/>
        <w:rPr>
          <w:rFonts w:ascii="Lato" w:hAnsi="Lato" w:cs="Arial"/>
          <w:sz w:val="12"/>
          <w:szCs w:val="12"/>
        </w:rPr>
      </w:pPr>
    </w:p>
    <w:p w14:paraId="57BDD766"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Ensure that the annual Members’ meeting is held in accordance with the requirements of the Articles of Association</w:t>
      </w:r>
    </w:p>
    <w:p w14:paraId="28FD496F" w14:textId="77777777" w:rsidR="001C2E30" w:rsidRPr="00A446C5" w:rsidRDefault="001C2E30" w:rsidP="001C2E30">
      <w:pPr>
        <w:pStyle w:val="ListParagraph"/>
        <w:ind w:left="426" w:hanging="426"/>
        <w:rPr>
          <w:rFonts w:ascii="Lato" w:hAnsi="Lato" w:cs="Arial"/>
          <w:sz w:val="12"/>
          <w:szCs w:val="12"/>
        </w:rPr>
      </w:pPr>
    </w:p>
    <w:p w14:paraId="17F6F7F3" w14:textId="77777777" w:rsidR="001C2E30" w:rsidRPr="00A446C5"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Assist in the co-ordination of the preparation, publication, distribution and presentation of the annual report (including annual accounts) in consultation with internal and external advisors</w:t>
      </w:r>
    </w:p>
    <w:p w14:paraId="7892E9D5" w14:textId="77777777" w:rsidR="001C2E30" w:rsidRPr="00A446C5" w:rsidRDefault="001C2E30" w:rsidP="001C2E30">
      <w:pPr>
        <w:pStyle w:val="ListParagraph"/>
        <w:ind w:left="426" w:hanging="426"/>
        <w:rPr>
          <w:rFonts w:ascii="Lato" w:hAnsi="Lato" w:cs="Arial"/>
          <w:sz w:val="12"/>
          <w:szCs w:val="12"/>
        </w:rPr>
      </w:pPr>
    </w:p>
    <w:p w14:paraId="3721984D" w14:textId="06B30926" w:rsidR="001C2E30" w:rsidRDefault="001C2E30" w:rsidP="001C2E30">
      <w:pPr>
        <w:numPr>
          <w:ilvl w:val="0"/>
          <w:numId w:val="32"/>
        </w:numPr>
        <w:autoSpaceDE w:val="0"/>
        <w:autoSpaceDN w:val="0"/>
        <w:adjustRightInd w:val="0"/>
        <w:ind w:left="426" w:hanging="426"/>
        <w:jc w:val="both"/>
        <w:rPr>
          <w:rFonts w:ascii="Lato" w:hAnsi="Lato" w:cs="Arial"/>
        </w:rPr>
      </w:pPr>
      <w:r w:rsidRPr="00A446C5">
        <w:rPr>
          <w:rFonts w:ascii="Lato" w:hAnsi="Lato" w:cs="Arial"/>
        </w:rPr>
        <w:t>Ensure the Trust has a robust framework for compliance with existing and emerging national governance codes of conduct including the Charity Governance Code of Conduct and the Academy Trust Governance Code</w:t>
      </w:r>
    </w:p>
    <w:p w14:paraId="53128261" w14:textId="013DAB03" w:rsidR="00446236" w:rsidRPr="00AD102B" w:rsidRDefault="00446236" w:rsidP="00A446C5">
      <w:pPr>
        <w:tabs>
          <w:tab w:val="left" w:pos="2190"/>
        </w:tabs>
        <w:spacing w:after="27" w:line="239" w:lineRule="auto"/>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lastRenderedPageBreak/>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A446C5" w:rsidRDefault="4B8CC882" w:rsidP="304F457D">
      <w:pPr>
        <w:pStyle w:val="NormalWeb"/>
        <w:numPr>
          <w:ilvl w:val="0"/>
          <w:numId w:val="30"/>
        </w:numPr>
        <w:spacing w:before="0" w:beforeAutospacing="0" w:after="240" w:afterAutospacing="0"/>
        <w:textAlignment w:val="baseline"/>
        <w:rPr>
          <w:rFonts w:ascii="Lato" w:hAnsi="Lato" w:cs="Arial"/>
          <w:color w:val="000000"/>
        </w:rPr>
      </w:pPr>
      <w:r w:rsidRPr="00A446C5">
        <w:rPr>
          <w:rFonts w:ascii="Lato" w:hAnsi="Lato" w:cs="Arial"/>
          <w:color w:val="000000" w:themeColor="text1"/>
        </w:rPr>
        <w:t xml:space="preserve">To promote and safeguard the welfare of children and young people you come into contact with. </w:t>
      </w:r>
    </w:p>
    <w:p w14:paraId="197C19B1" w14:textId="40C3146E" w:rsidR="0081062E" w:rsidRPr="00A446C5" w:rsidRDefault="0081062E" w:rsidP="304F457D">
      <w:pPr>
        <w:pStyle w:val="NormalWeb"/>
        <w:numPr>
          <w:ilvl w:val="0"/>
          <w:numId w:val="30"/>
        </w:numPr>
        <w:spacing w:before="0" w:beforeAutospacing="0" w:after="240" w:afterAutospacing="0"/>
        <w:textAlignment w:val="baseline"/>
        <w:rPr>
          <w:rFonts w:ascii="Lato" w:hAnsi="Lato" w:cs="Arial"/>
          <w:color w:val="000000"/>
        </w:rPr>
      </w:pPr>
      <w:r w:rsidRPr="00A446C5">
        <w:rPr>
          <w:rFonts w:ascii="Lato" w:hAnsi="Lato" w:cs="Arial"/>
          <w:color w:val="000000" w:themeColor="text1"/>
        </w:rPr>
        <w:t>Demonstrate the vision and values of the Trust in everyday work and practice.</w:t>
      </w:r>
    </w:p>
    <w:p w14:paraId="715AF235" w14:textId="09EAB923" w:rsidR="0081062E" w:rsidRPr="00A446C5" w:rsidRDefault="0081062E" w:rsidP="3E4E433E">
      <w:pPr>
        <w:pStyle w:val="NormalWeb"/>
        <w:numPr>
          <w:ilvl w:val="0"/>
          <w:numId w:val="30"/>
        </w:numPr>
        <w:spacing w:before="0" w:beforeAutospacing="0" w:after="240" w:afterAutospacing="0"/>
        <w:textAlignment w:val="baseline"/>
        <w:rPr>
          <w:rFonts w:ascii="Lato" w:hAnsi="Lato" w:cs="Arial"/>
          <w:color w:val="000000"/>
        </w:rPr>
      </w:pPr>
      <w:r w:rsidRPr="3E4E433E">
        <w:rPr>
          <w:rFonts w:ascii="Lato" w:hAnsi="Lato" w:cs="Arial"/>
          <w:color w:val="000000" w:themeColor="text1"/>
        </w:rPr>
        <w:t xml:space="preserve">Maintain a positive view of change and be prepared to adapt the role as the Trust grows, </w:t>
      </w:r>
      <w:r w:rsidR="37BB8571" w:rsidRPr="3E4E433E">
        <w:rPr>
          <w:rFonts w:ascii="Lato" w:hAnsi="Lato" w:cs="Arial"/>
          <w:color w:val="000000" w:themeColor="text1"/>
        </w:rPr>
        <w:t>matures,</w:t>
      </w:r>
      <w:r w:rsidRPr="3E4E433E">
        <w:rPr>
          <w:rFonts w:ascii="Lato" w:hAnsi="Lato" w:cs="Arial"/>
          <w:color w:val="000000" w:themeColor="text1"/>
        </w:rPr>
        <w:t xml:space="preserve"> and evolves.</w:t>
      </w:r>
    </w:p>
    <w:p w14:paraId="7847DFAC" w14:textId="77777777" w:rsidR="0081062E" w:rsidRPr="00A446C5" w:rsidRDefault="008A14C4" w:rsidP="008A14C4">
      <w:pPr>
        <w:pStyle w:val="NormalWeb"/>
        <w:numPr>
          <w:ilvl w:val="0"/>
          <w:numId w:val="30"/>
        </w:numPr>
        <w:spacing w:before="0" w:beforeAutospacing="0" w:after="240" w:afterAutospacing="0"/>
        <w:textAlignment w:val="baseline"/>
        <w:rPr>
          <w:rFonts w:ascii="Lato" w:hAnsi="Lato" w:cs="Arial"/>
          <w:color w:val="000000"/>
        </w:rPr>
      </w:pPr>
      <w:r w:rsidRPr="00A446C5">
        <w:rPr>
          <w:rFonts w:ascii="Lato" w:hAnsi="Lato" w:cs="Arial"/>
          <w:color w:val="000000" w:themeColor="text1"/>
        </w:rPr>
        <w:t>To</w:t>
      </w:r>
      <w:r w:rsidR="0081062E" w:rsidRPr="00A446C5">
        <w:rPr>
          <w:rFonts w:ascii="Lato" w:hAnsi="Lato" w:cs="Arial"/>
          <w:color w:val="000000" w:themeColor="text1"/>
        </w:rPr>
        <w:t xml:space="preserve"> develop </w:t>
      </w:r>
      <w:r w:rsidRPr="00A446C5">
        <w:rPr>
          <w:rFonts w:ascii="Lato" w:hAnsi="Lato" w:cs="Arial"/>
          <w:color w:val="000000" w:themeColor="text1"/>
        </w:rPr>
        <w:t xml:space="preserve">and maintain </w:t>
      </w:r>
      <w:r w:rsidR="0081062E" w:rsidRPr="00A446C5">
        <w:rPr>
          <w:rFonts w:ascii="Lato" w:hAnsi="Lato" w:cs="Arial"/>
          <w:color w:val="000000" w:themeColor="text1"/>
        </w:rPr>
        <w:t>effective relationships with staff, pupils, parents, Trustees</w:t>
      </w:r>
      <w:r w:rsidRPr="00A446C5">
        <w:rPr>
          <w:rFonts w:ascii="Lato" w:hAnsi="Lato" w:cs="Arial"/>
          <w:color w:val="000000" w:themeColor="text1"/>
        </w:rPr>
        <w:t>,</w:t>
      </w:r>
      <w:r w:rsidR="0081062E" w:rsidRPr="00A446C5">
        <w:rPr>
          <w:rFonts w:ascii="Lato" w:hAnsi="Lato" w:cs="Arial"/>
          <w:color w:val="000000" w:themeColor="text1"/>
        </w:rPr>
        <w:t xml:space="preserve"> local Governors, local businesses,</w:t>
      </w:r>
      <w:r w:rsidRPr="00A446C5">
        <w:rPr>
          <w:rFonts w:ascii="Lato" w:hAnsi="Lato" w:cs="Arial"/>
          <w:color w:val="000000" w:themeColor="text1"/>
        </w:rPr>
        <w:t xml:space="preserve"> and</w:t>
      </w:r>
      <w:r w:rsidR="0081062E" w:rsidRPr="00A446C5">
        <w:rPr>
          <w:rFonts w:ascii="Lato" w:hAnsi="Lato" w:cs="Arial"/>
          <w:color w:val="000000" w:themeColor="text1"/>
        </w:rPr>
        <w:t xml:space="preserve"> stakeholders.  </w:t>
      </w:r>
    </w:p>
    <w:p w14:paraId="786BC6CF" w14:textId="77777777" w:rsidR="0081062E" w:rsidRPr="00A446C5" w:rsidRDefault="0081062E" w:rsidP="008A14C4">
      <w:pPr>
        <w:pStyle w:val="NormalWeb"/>
        <w:numPr>
          <w:ilvl w:val="0"/>
          <w:numId w:val="30"/>
        </w:numPr>
        <w:spacing w:before="0" w:beforeAutospacing="0" w:after="240" w:afterAutospacing="0"/>
        <w:textAlignment w:val="baseline"/>
        <w:rPr>
          <w:rFonts w:ascii="Lato" w:hAnsi="Lato" w:cs="Arial"/>
          <w:color w:val="000000"/>
        </w:rPr>
      </w:pPr>
      <w:r w:rsidRPr="00A446C5">
        <w:rPr>
          <w:rFonts w:ascii="Lato" w:hAnsi="Lato" w:cs="Arial"/>
          <w:color w:val="000000" w:themeColor="text1"/>
        </w:rPr>
        <w:t>Attend out of hours events as reasonably required. </w:t>
      </w:r>
    </w:p>
    <w:p w14:paraId="7DAE2706" w14:textId="77777777" w:rsidR="0063082B" w:rsidRPr="00A446C5" w:rsidRDefault="0063082B" w:rsidP="008A14C4">
      <w:pPr>
        <w:pStyle w:val="NormalWeb"/>
        <w:numPr>
          <w:ilvl w:val="0"/>
          <w:numId w:val="30"/>
        </w:numPr>
        <w:spacing w:before="0" w:beforeAutospacing="0" w:after="240" w:afterAutospacing="0"/>
        <w:textAlignment w:val="baseline"/>
        <w:rPr>
          <w:rFonts w:ascii="Lato" w:hAnsi="Lato" w:cs="Arial"/>
          <w:color w:val="000000"/>
        </w:rPr>
      </w:pPr>
      <w:r w:rsidRPr="00A446C5">
        <w:rPr>
          <w:rFonts w:ascii="Lato" w:hAnsi="Lato" w:cs="Arial"/>
          <w:color w:val="000000" w:themeColor="text1"/>
        </w:rPr>
        <w:t>Take responsibility for your own continuing professional development.</w:t>
      </w:r>
    </w:p>
    <w:p w14:paraId="0E1BBE59" w14:textId="566B5C66" w:rsidR="0081062E" w:rsidRPr="00A446C5" w:rsidRDefault="0081062E" w:rsidP="3E4E433E">
      <w:pPr>
        <w:pStyle w:val="NormalWeb"/>
        <w:numPr>
          <w:ilvl w:val="0"/>
          <w:numId w:val="30"/>
        </w:numPr>
        <w:spacing w:before="0" w:beforeAutospacing="0" w:after="240" w:afterAutospacing="0"/>
        <w:textAlignment w:val="baseline"/>
        <w:rPr>
          <w:rFonts w:ascii="Lato" w:hAnsi="Lato" w:cs="Arial"/>
          <w:color w:val="000000"/>
        </w:rPr>
      </w:pPr>
      <w:r w:rsidRPr="3E4E433E">
        <w:rPr>
          <w:rFonts w:ascii="Lato" w:hAnsi="Lato" w:cs="Arial"/>
          <w:color w:val="000000" w:themeColor="text1"/>
        </w:rPr>
        <w:t xml:space="preserve">Be aware of and comply with policies and procedures relating to child protection, health, safety and security, </w:t>
      </w:r>
      <w:r w:rsidR="3AC2E49F" w:rsidRPr="3E4E433E">
        <w:rPr>
          <w:rFonts w:ascii="Lato" w:hAnsi="Lato" w:cs="Arial"/>
          <w:color w:val="000000" w:themeColor="text1"/>
        </w:rPr>
        <w:t>confidentiality,</w:t>
      </w:r>
      <w:r w:rsidRPr="3E4E433E">
        <w:rPr>
          <w:rFonts w:ascii="Lato" w:hAnsi="Lato" w:cs="Arial"/>
          <w:color w:val="000000" w:themeColor="text1"/>
        </w:rPr>
        <w:t xml:space="preserve"> and data protection, reporting all concerns to an appropriate person. </w:t>
      </w:r>
    </w:p>
    <w:p w14:paraId="24B5F4F2" w14:textId="77777777" w:rsidR="0081062E" w:rsidRPr="00A446C5" w:rsidRDefault="0081062E" w:rsidP="008A14C4">
      <w:pPr>
        <w:pStyle w:val="NormalWeb"/>
        <w:numPr>
          <w:ilvl w:val="0"/>
          <w:numId w:val="30"/>
        </w:numPr>
        <w:spacing w:before="0" w:beforeAutospacing="0" w:after="240" w:afterAutospacing="0"/>
        <w:textAlignment w:val="baseline"/>
        <w:rPr>
          <w:rFonts w:ascii="Lato" w:hAnsi="Lato" w:cs="Arial"/>
          <w:color w:val="000000"/>
        </w:rPr>
      </w:pPr>
      <w:r w:rsidRPr="00A446C5">
        <w:rPr>
          <w:rFonts w:ascii="Lato" w:hAnsi="Lato" w:cs="Arial"/>
          <w:color w:val="000000" w:themeColor="text1"/>
        </w:rPr>
        <w:t>Carry out duties in line with the Trust’s Policy on Equality and Diversity and be sensitive and caring to the needs of others, promoting a positive approach to a harmonious working environment</w:t>
      </w:r>
      <w:r w:rsidR="00B26C1F" w:rsidRPr="00A446C5">
        <w:rPr>
          <w:rFonts w:ascii="Lato" w:hAnsi="Lato" w:cs="Arial"/>
          <w:color w:val="000000" w:themeColor="text1"/>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7A771376" w:rsidR="00994542" w:rsidRPr="00A446C5" w:rsidRDefault="00994542" w:rsidP="3E4E433E">
      <w:pPr>
        <w:pStyle w:val="NormalWeb"/>
        <w:spacing w:before="0" w:beforeAutospacing="0" w:after="0" w:afterAutospacing="0"/>
        <w:rPr>
          <w:rFonts w:ascii="Lato" w:hAnsi="Lato"/>
        </w:rPr>
      </w:pPr>
      <w:r w:rsidRPr="3E4E433E">
        <w:rPr>
          <w:rFonts w:ascii="Lato" w:hAnsi="Lato" w:cs="Arial"/>
          <w:color w:val="000000" w:themeColor="text1"/>
        </w:rPr>
        <w:t xml:space="preserve">The above duties are not </w:t>
      </w:r>
      <w:r w:rsidR="23EA7FC9" w:rsidRPr="3E4E433E">
        <w:rPr>
          <w:rFonts w:ascii="Lato" w:hAnsi="Lato" w:cs="Arial"/>
          <w:color w:val="000000" w:themeColor="text1"/>
        </w:rPr>
        <w:t>exhaustive,</w:t>
      </w:r>
      <w:r w:rsidRPr="3E4E433E">
        <w:rPr>
          <w:rFonts w:ascii="Lato" w:hAnsi="Lato" w:cs="Arial"/>
          <w:color w:val="000000" w:themeColor="text1"/>
        </w:rPr>
        <w:t xml:space="preserve"> and </w:t>
      </w:r>
      <w:r w:rsidR="78FCC886" w:rsidRPr="3E4E433E">
        <w:rPr>
          <w:rFonts w:ascii="Lato" w:hAnsi="Lato" w:cs="Arial"/>
          <w:color w:val="000000" w:themeColor="text1"/>
        </w:rPr>
        <w:t>you</w:t>
      </w:r>
      <w:r w:rsidRPr="3E4E433E">
        <w:rPr>
          <w:rFonts w:ascii="Lato" w:hAnsi="Lato" w:cs="Arial"/>
          <w:color w:val="000000" w:themeColor="text1"/>
        </w:rPr>
        <w:t xml:space="preserve"> may be required to undertake tasks, roles and responsibilities as may be reasonably assigned to </w:t>
      </w:r>
      <w:r w:rsidR="7E29CE6E" w:rsidRPr="3E4E433E">
        <w:rPr>
          <w:rFonts w:ascii="Lato" w:hAnsi="Lato" w:cs="Arial"/>
          <w:color w:val="000000" w:themeColor="text1"/>
        </w:rPr>
        <w:t>you</w:t>
      </w:r>
      <w:r w:rsidRPr="3E4E433E">
        <w:rPr>
          <w:rFonts w:ascii="Lato" w:hAnsi="Lato" w:cs="Arial"/>
          <w:color w:val="000000" w:themeColor="text1"/>
        </w:rPr>
        <w:t xml:space="preserve"> by the </w:t>
      </w:r>
      <w:r w:rsidR="008A14C4" w:rsidRPr="3E4E433E">
        <w:rPr>
          <w:rFonts w:ascii="Lato" w:hAnsi="Lato" w:cs="Arial"/>
          <w:color w:val="000000" w:themeColor="text1"/>
        </w:rPr>
        <w:t>Trust</w:t>
      </w:r>
      <w:r w:rsidRPr="3E4E433E">
        <w:rPr>
          <w:rFonts w:ascii="Lato" w:hAnsi="Lato" w:cs="Arial"/>
          <w:color w:val="000000" w:themeColor="text1"/>
        </w:rPr>
        <w:t>. </w:t>
      </w:r>
    </w:p>
    <w:p w14:paraId="4B99056E" w14:textId="77777777" w:rsidR="00994542" w:rsidRPr="00A446C5" w:rsidRDefault="00994542" w:rsidP="00994542"/>
    <w:p w14:paraId="110EBC0B" w14:textId="09D26860" w:rsidR="007F75DA" w:rsidRPr="007A57D7" w:rsidRDefault="007F75DA" w:rsidP="3E4E433E">
      <w:pPr>
        <w:pStyle w:val="NormalWeb"/>
        <w:spacing w:before="0" w:beforeAutospacing="0" w:after="0" w:afterAutospacing="0" w:line="259" w:lineRule="auto"/>
        <w:rPr>
          <w:rFonts w:ascii="Lato" w:hAnsi="Lato" w:cs="Arial"/>
          <w:color w:val="000000" w:themeColor="text1"/>
        </w:rPr>
      </w:pPr>
    </w:p>
    <w:p w14:paraId="5A46007E" w14:textId="4223B3D6" w:rsidR="007F75DA" w:rsidRPr="007A57D7" w:rsidRDefault="6F816347" w:rsidP="3E4E433E">
      <w:pPr>
        <w:pStyle w:val="NormalWeb"/>
        <w:spacing w:before="0" w:beforeAutospacing="0" w:after="0" w:afterAutospacing="0" w:line="259" w:lineRule="auto"/>
        <w:rPr>
          <w:rFonts w:ascii="Lato" w:hAnsi="Lato"/>
          <w:b/>
          <w:bCs/>
          <w:sz w:val="32"/>
          <w:szCs w:val="32"/>
        </w:rPr>
      </w:pPr>
      <w:r w:rsidRPr="3E4E433E">
        <w:rPr>
          <w:rFonts w:ascii="Lato" w:hAnsi="Lato" w:cs="Arial"/>
          <w:color w:val="000000" w:themeColor="text1"/>
        </w:rPr>
        <w:t xml:space="preserve">It is </w:t>
      </w:r>
      <w:r w:rsidR="00AD102B" w:rsidRPr="00A446C5">
        <w:rPr>
          <w:rFonts w:ascii="Lato" w:hAnsi="Lato" w:cs="Arial"/>
          <w:color w:val="000000"/>
        </w:rPr>
        <w:t xml:space="preserve">important </w:t>
      </w:r>
      <w:r w:rsidR="63EF2127" w:rsidRPr="00A446C5">
        <w:rPr>
          <w:rFonts w:ascii="Lato" w:hAnsi="Lato" w:cs="Arial"/>
          <w:color w:val="000000" w:themeColor="text1"/>
        </w:rPr>
        <w:t>that</w:t>
      </w:r>
      <w:r w:rsidR="00AD102B" w:rsidRPr="00A446C5">
        <w:rPr>
          <w:rFonts w:ascii="Lato" w:hAnsi="Lato" w:cs="Arial"/>
          <w:color w:val="000000"/>
        </w:rPr>
        <w:t xml:space="preserve"> this document </w:t>
      </w:r>
      <w:r w:rsidR="68760C37" w:rsidRPr="00A446C5">
        <w:rPr>
          <w:rFonts w:ascii="Lato" w:hAnsi="Lato" w:cs="Arial"/>
          <w:color w:val="000000"/>
        </w:rPr>
        <w:t xml:space="preserve">is kept </w:t>
      </w:r>
      <w:r w:rsidR="00AD102B" w:rsidRPr="00A446C5">
        <w:rPr>
          <w:rFonts w:ascii="Lato" w:hAnsi="Lato" w:cs="Arial"/>
          <w:color w:val="000000"/>
        </w:rPr>
        <w:t xml:space="preserve">up to date, so that everyone knows exactly what is expected of them and misunderstandings are avoided.  </w:t>
      </w:r>
      <w:r w:rsidR="00994542" w:rsidRPr="00A446C5">
        <w:rPr>
          <w:rFonts w:ascii="Lato" w:hAnsi="Lato" w:cs="Arial"/>
          <w:color w:val="000000"/>
        </w:rPr>
        <w:t>This job description will be kept under review and may be amended via c</w:t>
      </w:r>
      <w:r w:rsidR="00AD102B" w:rsidRPr="00A446C5">
        <w:rPr>
          <w:rFonts w:ascii="Lato" w:hAnsi="Lato" w:cs="Arial"/>
          <w:color w:val="000000"/>
        </w:rPr>
        <w:t>onsultation with the individual</w:t>
      </w:r>
      <w:r w:rsidR="00994542" w:rsidRPr="00A446C5">
        <w:rPr>
          <w:rFonts w:ascii="Lato" w:hAnsi="Lato" w:cs="Arial"/>
          <w:color w:val="000000"/>
        </w:rPr>
        <w:t xml:space="preserve"> and Trust as required.</w:t>
      </w:r>
      <w:r w:rsidR="00994542" w:rsidRPr="00AD102B">
        <w:rPr>
          <w:rFonts w:ascii="Lato" w:hAnsi="Lato" w:cs="Arial"/>
          <w:color w:val="000000"/>
          <w:sz w:val="22"/>
          <w:szCs w:val="22"/>
        </w:rPr>
        <w:t xml:space="preserve"> </w:t>
      </w:r>
      <w:r w:rsidR="0059101A" w:rsidRPr="304F457D">
        <w:rPr>
          <w:rFonts w:ascii="Raleway" w:hAnsi="Raleway"/>
          <w:b/>
          <w:bCs/>
          <w:sz w:val="28"/>
          <w:szCs w:val="28"/>
        </w:rPr>
        <w:br w:type="page"/>
      </w:r>
      <w:r w:rsidR="007F75DA" w:rsidRPr="304F457D">
        <w:rPr>
          <w:rFonts w:ascii="Lato" w:hAnsi="Lato"/>
          <w:b/>
          <w:bCs/>
          <w:sz w:val="32"/>
          <w:szCs w:val="32"/>
        </w:rPr>
        <w:lastRenderedPageBreak/>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E4E433E">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E4E433E">
        <w:tc>
          <w:tcPr>
            <w:tcW w:w="6771" w:type="dxa"/>
            <w:shd w:val="clear" w:color="auto" w:fill="auto"/>
          </w:tcPr>
          <w:p w14:paraId="6BFE4440" w14:textId="77777777" w:rsidR="00A446C5" w:rsidRDefault="00A446C5" w:rsidP="00A446C5">
            <w:pPr>
              <w:rPr>
                <w:rFonts w:ascii="Lato" w:hAnsi="Lato"/>
              </w:rPr>
            </w:pPr>
            <w:r>
              <w:rPr>
                <w:rFonts w:ascii="Lato" w:hAnsi="Lato"/>
              </w:rPr>
              <w:t>Demonstrable knowledge and understanding of governance and compliance</w:t>
            </w:r>
          </w:p>
          <w:p w14:paraId="3CF2D8B6" w14:textId="77777777" w:rsidR="00F770F0" w:rsidRPr="007F0FC9" w:rsidRDefault="00F770F0" w:rsidP="00994542">
            <w:pPr>
              <w:rPr>
                <w:rFonts w:ascii="Lato" w:hAnsi="Lato"/>
                <w:b/>
                <w:sz w:val="22"/>
                <w:szCs w:val="22"/>
              </w:rPr>
            </w:pPr>
          </w:p>
        </w:tc>
        <w:tc>
          <w:tcPr>
            <w:tcW w:w="1701" w:type="dxa"/>
            <w:shd w:val="clear" w:color="auto" w:fill="auto"/>
          </w:tcPr>
          <w:p w14:paraId="0FB78278" w14:textId="0E86D5A1"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1FC39945" w14:textId="77777777" w:rsidR="00F770F0" w:rsidRPr="007F0FC9" w:rsidRDefault="00F770F0" w:rsidP="3E4E433E">
            <w:pPr>
              <w:jc w:val="center"/>
              <w:rPr>
                <w:rFonts w:ascii="Lato" w:hAnsi="Lato"/>
                <w:b/>
                <w:bCs/>
                <w:sz w:val="22"/>
                <w:szCs w:val="22"/>
              </w:rPr>
            </w:pPr>
          </w:p>
        </w:tc>
      </w:tr>
      <w:tr w:rsidR="00F770F0" w:rsidRPr="007F0FC9" w14:paraId="0562CB0E" w14:textId="77777777" w:rsidTr="3E4E433E">
        <w:tc>
          <w:tcPr>
            <w:tcW w:w="6771" w:type="dxa"/>
            <w:shd w:val="clear" w:color="auto" w:fill="auto"/>
          </w:tcPr>
          <w:p w14:paraId="28FDA6B9" w14:textId="77777777" w:rsidR="00A446C5" w:rsidRDefault="00A446C5" w:rsidP="00A446C5">
            <w:pPr>
              <w:rPr>
                <w:rFonts w:ascii="Lato" w:hAnsi="Lato"/>
              </w:rPr>
            </w:pPr>
            <w:r>
              <w:rPr>
                <w:rFonts w:ascii="Lato" w:hAnsi="Lato"/>
              </w:rPr>
              <w:t xml:space="preserve">Practical knowledge, understanding and application of data protection principles </w:t>
            </w:r>
          </w:p>
          <w:p w14:paraId="34CE0A41" w14:textId="77777777" w:rsidR="00F770F0" w:rsidRPr="007F0FC9" w:rsidRDefault="00F770F0" w:rsidP="00994542">
            <w:pPr>
              <w:rPr>
                <w:rFonts w:ascii="Lato" w:hAnsi="Lato"/>
                <w:b/>
                <w:sz w:val="22"/>
                <w:szCs w:val="22"/>
              </w:rPr>
            </w:pPr>
          </w:p>
        </w:tc>
        <w:tc>
          <w:tcPr>
            <w:tcW w:w="1701" w:type="dxa"/>
            <w:shd w:val="clear" w:color="auto" w:fill="auto"/>
          </w:tcPr>
          <w:p w14:paraId="62EBF3C5" w14:textId="021C31E9"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6D98A12B" w14:textId="77777777" w:rsidR="00F770F0" w:rsidRPr="007F0FC9" w:rsidRDefault="00F770F0" w:rsidP="3E4E433E">
            <w:pPr>
              <w:jc w:val="center"/>
              <w:rPr>
                <w:rFonts w:ascii="Lato" w:hAnsi="Lato"/>
                <w:b/>
                <w:bCs/>
                <w:sz w:val="22"/>
                <w:szCs w:val="22"/>
              </w:rPr>
            </w:pPr>
          </w:p>
        </w:tc>
      </w:tr>
      <w:tr w:rsidR="00F770F0" w:rsidRPr="007F0FC9" w14:paraId="2946DB82" w14:textId="77777777" w:rsidTr="3E4E433E">
        <w:tc>
          <w:tcPr>
            <w:tcW w:w="6771" w:type="dxa"/>
            <w:shd w:val="clear" w:color="auto" w:fill="auto"/>
          </w:tcPr>
          <w:p w14:paraId="4432ADE6" w14:textId="77777777" w:rsidR="00A446C5" w:rsidRDefault="00A446C5" w:rsidP="00A446C5">
            <w:pPr>
              <w:rPr>
                <w:rFonts w:ascii="Lato" w:hAnsi="Lato"/>
              </w:rPr>
            </w:pPr>
            <w:r>
              <w:rPr>
                <w:rFonts w:ascii="Lato" w:hAnsi="Lato"/>
              </w:rPr>
              <w:t>Ability to establish strong working relations with a range of internal and external stakeholders, especially at senior leadership and board level</w:t>
            </w:r>
          </w:p>
          <w:p w14:paraId="5997CC1D" w14:textId="77777777" w:rsidR="00F770F0" w:rsidRPr="007F0FC9" w:rsidRDefault="00F770F0" w:rsidP="00994542">
            <w:pPr>
              <w:rPr>
                <w:rFonts w:ascii="Lato" w:hAnsi="Lato"/>
                <w:b/>
                <w:sz w:val="22"/>
                <w:szCs w:val="22"/>
              </w:rPr>
            </w:pPr>
          </w:p>
        </w:tc>
        <w:tc>
          <w:tcPr>
            <w:tcW w:w="1701" w:type="dxa"/>
            <w:shd w:val="clear" w:color="auto" w:fill="auto"/>
          </w:tcPr>
          <w:p w14:paraId="110FFD37" w14:textId="4A52A561"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6B699379" w14:textId="77777777" w:rsidR="00F770F0" w:rsidRPr="007F0FC9" w:rsidRDefault="00F770F0" w:rsidP="3E4E433E">
            <w:pPr>
              <w:jc w:val="center"/>
              <w:rPr>
                <w:rFonts w:ascii="Lato" w:hAnsi="Lato"/>
                <w:b/>
                <w:bCs/>
                <w:sz w:val="22"/>
                <w:szCs w:val="22"/>
              </w:rPr>
            </w:pPr>
          </w:p>
        </w:tc>
      </w:tr>
      <w:tr w:rsidR="00F770F0" w:rsidRPr="007F0FC9" w14:paraId="3FE9F23F" w14:textId="77777777" w:rsidTr="3E4E433E">
        <w:tc>
          <w:tcPr>
            <w:tcW w:w="6771" w:type="dxa"/>
            <w:shd w:val="clear" w:color="auto" w:fill="auto"/>
          </w:tcPr>
          <w:p w14:paraId="07E7A797" w14:textId="77777777" w:rsidR="00A446C5" w:rsidRDefault="00A446C5" w:rsidP="00A446C5">
            <w:pPr>
              <w:rPr>
                <w:rFonts w:ascii="Lato" w:hAnsi="Lato"/>
              </w:rPr>
            </w:pPr>
            <w:r>
              <w:rPr>
                <w:rFonts w:ascii="Lato" w:hAnsi="Lato"/>
              </w:rPr>
              <w:t>Ability to prioritise, work efficiently and accurately, particularly under pressure, to deadlines and using own initiative</w:t>
            </w:r>
          </w:p>
          <w:p w14:paraId="1F72F646" w14:textId="77777777" w:rsidR="00F770F0" w:rsidRPr="007F0FC9" w:rsidRDefault="00F770F0" w:rsidP="00994542">
            <w:pPr>
              <w:rPr>
                <w:rFonts w:ascii="Lato" w:hAnsi="Lato"/>
                <w:b/>
                <w:sz w:val="22"/>
                <w:szCs w:val="22"/>
              </w:rPr>
            </w:pPr>
          </w:p>
        </w:tc>
        <w:tc>
          <w:tcPr>
            <w:tcW w:w="1701" w:type="dxa"/>
            <w:shd w:val="clear" w:color="auto" w:fill="auto"/>
          </w:tcPr>
          <w:p w14:paraId="08CE6F91" w14:textId="7CF44ADF"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61CDCEAD" w14:textId="77777777" w:rsidR="00F770F0" w:rsidRPr="007F0FC9" w:rsidRDefault="00F770F0" w:rsidP="3E4E433E">
            <w:pPr>
              <w:jc w:val="center"/>
              <w:rPr>
                <w:rFonts w:ascii="Lato" w:hAnsi="Lato"/>
                <w:b/>
                <w:bCs/>
                <w:sz w:val="22"/>
                <w:szCs w:val="22"/>
              </w:rPr>
            </w:pPr>
          </w:p>
        </w:tc>
      </w:tr>
      <w:tr w:rsidR="00F770F0" w:rsidRPr="007F0FC9" w14:paraId="6BB9E253" w14:textId="77777777" w:rsidTr="3E4E433E">
        <w:tc>
          <w:tcPr>
            <w:tcW w:w="6771" w:type="dxa"/>
            <w:shd w:val="clear" w:color="auto" w:fill="auto"/>
          </w:tcPr>
          <w:p w14:paraId="41016983" w14:textId="77777777" w:rsidR="00A446C5" w:rsidRDefault="00A446C5" w:rsidP="00A446C5">
            <w:pPr>
              <w:rPr>
                <w:rFonts w:ascii="Lato" w:hAnsi="Lato"/>
              </w:rPr>
            </w:pPr>
            <w:r>
              <w:rPr>
                <w:rFonts w:ascii="Lato" w:hAnsi="Lato"/>
              </w:rPr>
              <w:t>Strong listening, verbal and written communication skills, including proficient skill in governance minute taking</w:t>
            </w:r>
          </w:p>
          <w:p w14:paraId="23DE523C" w14:textId="77777777" w:rsidR="00F770F0" w:rsidRPr="007F0FC9" w:rsidRDefault="00F770F0" w:rsidP="00994542">
            <w:pPr>
              <w:rPr>
                <w:rFonts w:ascii="Lato" w:hAnsi="Lato"/>
                <w:b/>
                <w:sz w:val="22"/>
                <w:szCs w:val="22"/>
              </w:rPr>
            </w:pPr>
          </w:p>
        </w:tc>
        <w:tc>
          <w:tcPr>
            <w:tcW w:w="1701" w:type="dxa"/>
            <w:shd w:val="clear" w:color="auto" w:fill="auto"/>
          </w:tcPr>
          <w:p w14:paraId="52E56223" w14:textId="3DE1482E"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07547A01" w14:textId="77777777" w:rsidR="00F770F0" w:rsidRPr="007F0FC9" w:rsidRDefault="00F770F0" w:rsidP="3E4E433E">
            <w:pPr>
              <w:jc w:val="center"/>
              <w:rPr>
                <w:rFonts w:ascii="Lato" w:hAnsi="Lato"/>
                <w:b/>
                <w:bCs/>
                <w:sz w:val="22"/>
                <w:szCs w:val="22"/>
              </w:rPr>
            </w:pPr>
          </w:p>
        </w:tc>
      </w:tr>
      <w:tr w:rsidR="00F770F0" w:rsidRPr="007F0FC9" w14:paraId="5043CB0F" w14:textId="77777777" w:rsidTr="3E4E433E">
        <w:tc>
          <w:tcPr>
            <w:tcW w:w="6771" w:type="dxa"/>
            <w:shd w:val="clear" w:color="auto" w:fill="auto"/>
          </w:tcPr>
          <w:p w14:paraId="697C9CE9" w14:textId="77777777" w:rsidR="00A446C5" w:rsidRPr="00263093" w:rsidRDefault="00A446C5" w:rsidP="00A446C5">
            <w:pPr>
              <w:rPr>
                <w:rFonts w:ascii="Lato" w:hAnsi="Lato"/>
              </w:rPr>
            </w:pPr>
            <w:r w:rsidRPr="00263093">
              <w:rPr>
                <w:rFonts w:ascii="Lato" w:hAnsi="Lato"/>
              </w:rPr>
              <w:t>Proficient IT skills including word processing, using spreadsheets and presentation applications (Microsoft Office)</w:t>
            </w:r>
          </w:p>
          <w:p w14:paraId="07459315" w14:textId="77777777" w:rsidR="00F770F0" w:rsidRPr="007F0FC9" w:rsidRDefault="00F770F0" w:rsidP="00994542">
            <w:pPr>
              <w:rPr>
                <w:rFonts w:ascii="Lato" w:hAnsi="Lato"/>
                <w:b/>
                <w:sz w:val="22"/>
                <w:szCs w:val="22"/>
              </w:rPr>
            </w:pPr>
          </w:p>
        </w:tc>
        <w:tc>
          <w:tcPr>
            <w:tcW w:w="1701" w:type="dxa"/>
            <w:shd w:val="clear" w:color="auto" w:fill="auto"/>
          </w:tcPr>
          <w:p w14:paraId="6537F28F" w14:textId="032987A6"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6DFB9E20" w14:textId="77777777" w:rsidR="00F770F0" w:rsidRPr="007F0FC9" w:rsidRDefault="00F770F0" w:rsidP="3E4E433E">
            <w:pPr>
              <w:jc w:val="center"/>
              <w:rPr>
                <w:rFonts w:ascii="Lato" w:hAnsi="Lato"/>
                <w:b/>
                <w:bCs/>
                <w:sz w:val="22"/>
                <w:szCs w:val="22"/>
              </w:rPr>
            </w:pPr>
          </w:p>
        </w:tc>
      </w:tr>
      <w:tr w:rsidR="00A446C5" w:rsidRPr="007F0FC9" w14:paraId="68F4A484" w14:textId="77777777" w:rsidTr="3E4E433E">
        <w:tc>
          <w:tcPr>
            <w:tcW w:w="6771" w:type="dxa"/>
            <w:shd w:val="clear" w:color="auto" w:fill="auto"/>
          </w:tcPr>
          <w:p w14:paraId="1CE79A36" w14:textId="44D6FF6B" w:rsidR="00A446C5" w:rsidRDefault="00A446C5" w:rsidP="00A446C5">
            <w:pPr>
              <w:rPr>
                <w:rFonts w:ascii="Lato" w:hAnsi="Lato"/>
              </w:rPr>
            </w:pPr>
            <w:r>
              <w:rPr>
                <w:rFonts w:ascii="Lato" w:hAnsi="Lato"/>
              </w:rPr>
              <w:t>Strong knowledge and understanding of the education system including knowledge of relevant legislation and regulatory requirements regarding governance in education</w:t>
            </w:r>
          </w:p>
          <w:p w14:paraId="5A6D340B" w14:textId="4AF10F5F" w:rsidR="00A446C5" w:rsidRPr="00263093" w:rsidRDefault="00A446C5" w:rsidP="00A446C5">
            <w:pPr>
              <w:rPr>
                <w:rFonts w:ascii="Lato" w:hAnsi="Lato"/>
              </w:rPr>
            </w:pPr>
          </w:p>
        </w:tc>
        <w:tc>
          <w:tcPr>
            <w:tcW w:w="1701" w:type="dxa"/>
            <w:shd w:val="clear" w:color="auto" w:fill="auto"/>
          </w:tcPr>
          <w:p w14:paraId="2A727957" w14:textId="77777777" w:rsidR="00A446C5" w:rsidRPr="007F0FC9" w:rsidRDefault="00A446C5" w:rsidP="3E4E433E">
            <w:pPr>
              <w:jc w:val="center"/>
              <w:rPr>
                <w:rFonts w:ascii="Lato" w:hAnsi="Lato"/>
                <w:b/>
                <w:bCs/>
                <w:sz w:val="22"/>
                <w:szCs w:val="22"/>
              </w:rPr>
            </w:pPr>
          </w:p>
        </w:tc>
        <w:tc>
          <w:tcPr>
            <w:tcW w:w="1701" w:type="dxa"/>
            <w:shd w:val="clear" w:color="auto" w:fill="auto"/>
          </w:tcPr>
          <w:p w14:paraId="04A5D54D" w14:textId="47D3DB9A" w:rsidR="00A446C5"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r>
      <w:tr w:rsidR="00F770F0" w:rsidRPr="007F0FC9" w14:paraId="7B924C0B" w14:textId="77777777" w:rsidTr="3E4E433E">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E4E433E">
        <w:tc>
          <w:tcPr>
            <w:tcW w:w="6771" w:type="dxa"/>
            <w:shd w:val="clear" w:color="auto" w:fill="auto"/>
          </w:tcPr>
          <w:p w14:paraId="4800FD6A" w14:textId="77777777" w:rsidR="00A446C5" w:rsidRPr="007F75DA" w:rsidRDefault="00A446C5" w:rsidP="00A446C5">
            <w:pPr>
              <w:autoSpaceDE w:val="0"/>
              <w:autoSpaceDN w:val="0"/>
              <w:rPr>
                <w:rFonts w:ascii="Lato" w:hAnsi="Lato" w:cs="Calibri"/>
              </w:rPr>
            </w:pPr>
            <w:r>
              <w:rPr>
                <w:rFonts w:ascii="Lato" w:hAnsi="Lato" w:cs="Calibri"/>
              </w:rPr>
              <w:t>First degree in an appropriate discipline, or significant relevant professional experience</w:t>
            </w:r>
          </w:p>
          <w:p w14:paraId="44E871BC" w14:textId="77777777" w:rsidR="00F770F0" w:rsidRPr="007F0FC9" w:rsidRDefault="00F770F0" w:rsidP="00994542">
            <w:pPr>
              <w:rPr>
                <w:rFonts w:ascii="Lato" w:hAnsi="Lato"/>
                <w:b/>
                <w:sz w:val="22"/>
                <w:szCs w:val="22"/>
              </w:rPr>
            </w:pPr>
          </w:p>
        </w:tc>
        <w:tc>
          <w:tcPr>
            <w:tcW w:w="1701" w:type="dxa"/>
            <w:shd w:val="clear" w:color="auto" w:fill="auto"/>
          </w:tcPr>
          <w:p w14:paraId="144A5D23" w14:textId="3B4891A2"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738610EB" w14:textId="77777777" w:rsidR="00F770F0" w:rsidRPr="007F0FC9" w:rsidRDefault="00F770F0" w:rsidP="3E4E433E">
            <w:pPr>
              <w:jc w:val="center"/>
              <w:rPr>
                <w:rFonts w:ascii="Lato" w:hAnsi="Lato"/>
                <w:b/>
                <w:bCs/>
                <w:sz w:val="22"/>
                <w:szCs w:val="22"/>
              </w:rPr>
            </w:pPr>
          </w:p>
        </w:tc>
      </w:tr>
      <w:tr w:rsidR="00F770F0" w:rsidRPr="007F0FC9" w14:paraId="637805D2" w14:textId="77777777" w:rsidTr="3E4E433E">
        <w:tc>
          <w:tcPr>
            <w:tcW w:w="6771" w:type="dxa"/>
            <w:shd w:val="clear" w:color="auto" w:fill="auto"/>
          </w:tcPr>
          <w:p w14:paraId="463F29E8" w14:textId="19D3D23F" w:rsidR="00F770F0" w:rsidRPr="007F0FC9" w:rsidRDefault="00A446C5" w:rsidP="00994542">
            <w:pPr>
              <w:rPr>
                <w:rFonts w:ascii="Lato" w:hAnsi="Lato"/>
                <w:b/>
                <w:sz w:val="22"/>
                <w:szCs w:val="22"/>
              </w:rPr>
            </w:pPr>
            <w:r>
              <w:rPr>
                <w:rFonts w:ascii="Lato" w:hAnsi="Lato"/>
              </w:rPr>
              <w:t>Evidence of relevant, recent continuing professional development</w:t>
            </w:r>
          </w:p>
        </w:tc>
        <w:tc>
          <w:tcPr>
            <w:tcW w:w="1701" w:type="dxa"/>
            <w:shd w:val="clear" w:color="auto" w:fill="auto"/>
          </w:tcPr>
          <w:p w14:paraId="3B7B4B86" w14:textId="0EF7F950"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3A0FF5F2" w14:textId="77777777" w:rsidR="00F770F0" w:rsidRPr="007F0FC9" w:rsidRDefault="00F770F0" w:rsidP="3E4E433E">
            <w:pPr>
              <w:jc w:val="center"/>
              <w:rPr>
                <w:rFonts w:ascii="Lato" w:hAnsi="Lato"/>
                <w:b/>
                <w:bCs/>
                <w:sz w:val="22"/>
                <w:szCs w:val="22"/>
              </w:rPr>
            </w:pPr>
          </w:p>
        </w:tc>
      </w:tr>
      <w:tr w:rsidR="00F770F0" w:rsidRPr="007F0FC9" w14:paraId="5630AD66" w14:textId="77777777" w:rsidTr="3E4E433E">
        <w:tc>
          <w:tcPr>
            <w:tcW w:w="6771" w:type="dxa"/>
            <w:shd w:val="clear" w:color="auto" w:fill="auto"/>
          </w:tcPr>
          <w:p w14:paraId="7AFF9E7B" w14:textId="77777777" w:rsidR="00A446C5" w:rsidRDefault="00A446C5" w:rsidP="00A446C5">
            <w:pPr>
              <w:autoSpaceDE w:val="0"/>
              <w:autoSpaceDN w:val="0"/>
              <w:rPr>
                <w:rFonts w:ascii="Lato" w:hAnsi="Lato"/>
              </w:rPr>
            </w:pPr>
            <w:r>
              <w:rPr>
                <w:rFonts w:ascii="Lato" w:hAnsi="Lato"/>
              </w:rPr>
              <w:t>Successful completion (or evidence of registration) of a governance clerking development programme</w:t>
            </w:r>
          </w:p>
          <w:p w14:paraId="61829076" w14:textId="77777777" w:rsidR="00F770F0" w:rsidRPr="007F0FC9" w:rsidRDefault="00F770F0" w:rsidP="00994542">
            <w:pPr>
              <w:rPr>
                <w:rFonts w:ascii="Lato" w:hAnsi="Lato"/>
                <w:b/>
                <w:sz w:val="22"/>
                <w:szCs w:val="22"/>
              </w:rPr>
            </w:pPr>
          </w:p>
        </w:tc>
        <w:tc>
          <w:tcPr>
            <w:tcW w:w="1701" w:type="dxa"/>
            <w:shd w:val="clear" w:color="auto" w:fill="auto"/>
          </w:tcPr>
          <w:p w14:paraId="2BA226A1" w14:textId="77777777" w:rsidR="00F770F0" w:rsidRPr="007F0FC9" w:rsidRDefault="00F770F0" w:rsidP="3E4E433E">
            <w:pPr>
              <w:jc w:val="center"/>
              <w:rPr>
                <w:rFonts w:ascii="Lato" w:hAnsi="Lato"/>
                <w:b/>
                <w:bCs/>
                <w:sz w:val="22"/>
                <w:szCs w:val="22"/>
              </w:rPr>
            </w:pPr>
          </w:p>
        </w:tc>
        <w:tc>
          <w:tcPr>
            <w:tcW w:w="1701" w:type="dxa"/>
            <w:shd w:val="clear" w:color="auto" w:fill="auto"/>
          </w:tcPr>
          <w:p w14:paraId="17AD93B2" w14:textId="05FD4188"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r>
      <w:tr w:rsidR="00F770F0" w:rsidRPr="007F0FC9" w14:paraId="0DE4B5B7" w14:textId="77777777" w:rsidTr="3E4E433E">
        <w:tc>
          <w:tcPr>
            <w:tcW w:w="6771" w:type="dxa"/>
            <w:shd w:val="clear" w:color="auto" w:fill="auto"/>
          </w:tcPr>
          <w:p w14:paraId="4D6628E0" w14:textId="77777777" w:rsidR="00A446C5" w:rsidRDefault="00A446C5" w:rsidP="00A446C5">
            <w:pPr>
              <w:autoSpaceDE w:val="0"/>
              <w:autoSpaceDN w:val="0"/>
              <w:rPr>
                <w:rFonts w:ascii="Lato" w:hAnsi="Lato"/>
              </w:rPr>
            </w:pPr>
            <w:r>
              <w:rPr>
                <w:rFonts w:ascii="Lato" w:hAnsi="Lato"/>
              </w:rPr>
              <w:t xml:space="preserve">Chartered Governance Professional </w:t>
            </w:r>
          </w:p>
          <w:p w14:paraId="66204FF1" w14:textId="77777777" w:rsidR="00F770F0" w:rsidRPr="007F0FC9" w:rsidRDefault="00F770F0" w:rsidP="00994542">
            <w:pPr>
              <w:rPr>
                <w:rFonts w:ascii="Lato" w:hAnsi="Lato"/>
                <w:b/>
                <w:sz w:val="22"/>
                <w:szCs w:val="22"/>
              </w:rPr>
            </w:pPr>
          </w:p>
        </w:tc>
        <w:tc>
          <w:tcPr>
            <w:tcW w:w="1701" w:type="dxa"/>
            <w:shd w:val="clear" w:color="auto" w:fill="auto"/>
          </w:tcPr>
          <w:p w14:paraId="2DBF0D7D" w14:textId="77777777" w:rsidR="00F770F0" w:rsidRPr="007F0FC9" w:rsidRDefault="00F770F0" w:rsidP="3E4E433E">
            <w:pPr>
              <w:jc w:val="center"/>
              <w:rPr>
                <w:rFonts w:ascii="Lato" w:hAnsi="Lato"/>
                <w:b/>
                <w:bCs/>
                <w:sz w:val="22"/>
                <w:szCs w:val="22"/>
              </w:rPr>
            </w:pPr>
          </w:p>
        </w:tc>
        <w:tc>
          <w:tcPr>
            <w:tcW w:w="1701" w:type="dxa"/>
            <w:shd w:val="clear" w:color="auto" w:fill="auto"/>
          </w:tcPr>
          <w:p w14:paraId="6B62F1B3" w14:textId="23229F16" w:rsidR="00F770F0" w:rsidRPr="007F0FC9" w:rsidRDefault="6DD2D898" w:rsidP="3E4E433E">
            <w:pPr>
              <w:jc w:val="center"/>
              <w:rPr>
                <w:rFonts w:ascii="Lato" w:hAnsi="Lato"/>
                <w:b/>
                <w:bCs/>
                <w:sz w:val="22"/>
                <w:szCs w:val="22"/>
              </w:rPr>
            </w:pPr>
            <w:r w:rsidRPr="3E4E433E">
              <w:rPr>
                <w:rFonts w:ascii="Wingdings" w:eastAsia="Wingdings" w:hAnsi="Wingdings" w:cs="Wingdings"/>
                <w:b/>
                <w:bCs/>
                <w:sz w:val="22"/>
                <w:szCs w:val="22"/>
              </w:rPr>
              <w:t></w:t>
            </w:r>
          </w:p>
        </w:tc>
      </w:tr>
      <w:tr w:rsidR="00F770F0" w:rsidRPr="007F0FC9" w14:paraId="2D2298AE" w14:textId="77777777" w:rsidTr="3E4E433E">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E4E433E">
        <w:tc>
          <w:tcPr>
            <w:tcW w:w="6771" w:type="dxa"/>
            <w:shd w:val="clear" w:color="auto" w:fill="auto"/>
          </w:tcPr>
          <w:p w14:paraId="5BBE8EEF" w14:textId="77777777" w:rsidR="00A446C5" w:rsidRDefault="00A446C5" w:rsidP="00A446C5">
            <w:pPr>
              <w:rPr>
                <w:rFonts w:ascii="Lato" w:hAnsi="Lato"/>
              </w:rPr>
            </w:pPr>
            <w:r>
              <w:rPr>
                <w:rFonts w:ascii="Lato" w:hAnsi="Lato"/>
              </w:rPr>
              <w:t>Experience of managing and delivering organisational governance and compliance</w:t>
            </w:r>
          </w:p>
          <w:p w14:paraId="680A4E5D" w14:textId="77777777" w:rsidR="00F770F0" w:rsidRPr="007F0FC9" w:rsidRDefault="00F770F0" w:rsidP="00994542">
            <w:pPr>
              <w:rPr>
                <w:rFonts w:ascii="Lato" w:hAnsi="Lato"/>
                <w:b/>
                <w:sz w:val="22"/>
                <w:szCs w:val="22"/>
              </w:rPr>
            </w:pPr>
          </w:p>
        </w:tc>
        <w:tc>
          <w:tcPr>
            <w:tcW w:w="1701" w:type="dxa"/>
            <w:shd w:val="clear" w:color="auto" w:fill="auto"/>
          </w:tcPr>
          <w:p w14:paraId="19219836" w14:textId="74539119" w:rsidR="00F770F0" w:rsidRPr="007F0FC9" w:rsidRDefault="00BA393B"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296FEF7D" w14:textId="77777777" w:rsidR="00F770F0" w:rsidRPr="007F0FC9" w:rsidRDefault="00F770F0" w:rsidP="3E4E433E">
            <w:pPr>
              <w:jc w:val="center"/>
              <w:rPr>
                <w:rFonts w:ascii="Lato" w:hAnsi="Lato"/>
                <w:b/>
                <w:bCs/>
                <w:sz w:val="22"/>
                <w:szCs w:val="22"/>
              </w:rPr>
            </w:pPr>
          </w:p>
        </w:tc>
      </w:tr>
      <w:tr w:rsidR="00F770F0" w:rsidRPr="007F0FC9" w14:paraId="7194DBDC" w14:textId="77777777" w:rsidTr="3E4E433E">
        <w:tc>
          <w:tcPr>
            <w:tcW w:w="6771" w:type="dxa"/>
            <w:shd w:val="clear" w:color="auto" w:fill="auto"/>
          </w:tcPr>
          <w:p w14:paraId="67E72D81" w14:textId="77777777" w:rsidR="00A446C5" w:rsidRDefault="00A446C5" w:rsidP="00A446C5">
            <w:pPr>
              <w:rPr>
                <w:rFonts w:ascii="Lato" w:hAnsi="Lato"/>
              </w:rPr>
            </w:pPr>
            <w:r>
              <w:rPr>
                <w:rFonts w:ascii="Lato" w:hAnsi="Lato"/>
              </w:rPr>
              <w:lastRenderedPageBreak/>
              <w:t>Extensive experience of supporting and advising boards and their committees, with direct corporate governance experience preferably gained in a regulatory environment</w:t>
            </w:r>
          </w:p>
          <w:p w14:paraId="769D0D3C" w14:textId="77777777" w:rsidR="00F770F0" w:rsidRPr="007F0FC9" w:rsidRDefault="00F770F0" w:rsidP="00994542">
            <w:pPr>
              <w:rPr>
                <w:rFonts w:ascii="Lato" w:hAnsi="Lato"/>
                <w:b/>
                <w:sz w:val="22"/>
                <w:szCs w:val="22"/>
              </w:rPr>
            </w:pPr>
          </w:p>
        </w:tc>
        <w:tc>
          <w:tcPr>
            <w:tcW w:w="1701" w:type="dxa"/>
            <w:shd w:val="clear" w:color="auto" w:fill="auto"/>
          </w:tcPr>
          <w:p w14:paraId="54CD245A" w14:textId="35BF455C" w:rsidR="00F770F0" w:rsidRPr="007F0FC9" w:rsidRDefault="00BA393B"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1231BE67" w14:textId="77777777" w:rsidR="00F770F0" w:rsidRPr="007F0FC9" w:rsidRDefault="00F770F0" w:rsidP="3E4E433E">
            <w:pPr>
              <w:jc w:val="center"/>
              <w:rPr>
                <w:rFonts w:ascii="Lato" w:hAnsi="Lato"/>
                <w:b/>
                <w:bCs/>
                <w:sz w:val="22"/>
                <w:szCs w:val="22"/>
              </w:rPr>
            </w:pPr>
          </w:p>
        </w:tc>
      </w:tr>
      <w:tr w:rsidR="00F770F0" w:rsidRPr="007F0FC9" w14:paraId="36FEB5B0" w14:textId="77777777" w:rsidTr="3E4E433E">
        <w:tc>
          <w:tcPr>
            <w:tcW w:w="6771" w:type="dxa"/>
            <w:shd w:val="clear" w:color="auto" w:fill="auto"/>
          </w:tcPr>
          <w:p w14:paraId="788FE208" w14:textId="77777777" w:rsidR="00A446C5" w:rsidRDefault="00A446C5" w:rsidP="00A446C5">
            <w:pPr>
              <w:rPr>
                <w:rFonts w:ascii="Lato" w:hAnsi="Lato"/>
              </w:rPr>
            </w:pPr>
            <w:r>
              <w:rPr>
                <w:rFonts w:ascii="Lato" w:hAnsi="Lato"/>
              </w:rPr>
              <w:t>Evidence of leading on governance within a dynamic, multifunctional organisation, collaborating successfully with other functions to deliver the organisation’s strategic objectives</w:t>
            </w:r>
          </w:p>
          <w:p w14:paraId="30D7AA69" w14:textId="77777777" w:rsidR="00F770F0" w:rsidRPr="007F0FC9" w:rsidRDefault="00F770F0" w:rsidP="00994542">
            <w:pPr>
              <w:rPr>
                <w:rFonts w:ascii="Lato" w:hAnsi="Lato"/>
                <w:b/>
                <w:sz w:val="22"/>
                <w:szCs w:val="22"/>
              </w:rPr>
            </w:pPr>
          </w:p>
        </w:tc>
        <w:tc>
          <w:tcPr>
            <w:tcW w:w="1701" w:type="dxa"/>
            <w:shd w:val="clear" w:color="auto" w:fill="auto"/>
          </w:tcPr>
          <w:p w14:paraId="7196D064" w14:textId="508C2501" w:rsidR="00F770F0" w:rsidRPr="007F0FC9" w:rsidRDefault="00BA393B"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34FF1C98" w14:textId="77777777" w:rsidR="00F770F0" w:rsidRPr="007F0FC9" w:rsidRDefault="00F770F0" w:rsidP="3E4E433E">
            <w:pPr>
              <w:jc w:val="center"/>
              <w:rPr>
                <w:rFonts w:ascii="Lato" w:hAnsi="Lato"/>
                <w:b/>
                <w:bCs/>
                <w:sz w:val="22"/>
                <w:szCs w:val="22"/>
              </w:rPr>
            </w:pPr>
          </w:p>
        </w:tc>
      </w:tr>
      <w:tr w:rsidR="00F770F0" w:rsidRPr="007F0FC9" w14:paraId="6D072C0D" w14:textId="77777777" w:rsidTr="3E4E433E">
        <w:tc>
          <w:tcPr>
            <w:tcW w:w="6771" w:type="dxa"/>
            <w:shd w:val="clear" w:color="auto" w:fill="auto"/>
          </w:tcPr>
          <w:p w14:paraId="34B551A5" w14:textId="77777777" w:rsidR="00A446C5" w:rsidRDefault="00A446C5" w:rsidP="00A446C5">
            <w:pPr>
              <w:rPr>
                <w:rFonts w:ascii="Lato" w:hAnsi="Lato"/>
              </w:rPr>
            </w:pPr>
            <w:r>
              <w:rPr>
                <w:rFonts w:ascii="Lato" w:hAnsi="Lato"/>
              </w:rPr>
              <w:t>Experience of establishing strong relationships across a range of stakeholders</w:t>
            </w:r>
          </w:p>
          <w:p w14:paraId="48A21919" w14:textId="77777777" w:rsidR="00F770F0" w:rsidRPr="007F0FC9" w:rsidRDefault="00F770F0" w:rsidP="00994542">
            <w:pPr>
              <w:rPr>
                <w:rFonts w:ascii="Lato" w:hAnsi="Lato"/>
                <w:b/>
                <w:sz w:val="22"/>
                <w:szCs w:val="22"/>
              </w:rPr>
            </w:pPr>
          </w:p>
        </w:tc>
        <w:tc>
          <w:tcPr>
            <w:tcW w:w="1701" w:type="dxa"/>
            <w:shd w:val="clear" w:color="auto" w:fill="auto"/>
          </w:tcPr>
          <w:p w14:paraId="6BD18F9B" w14:textId="60A5EF48" w:rsidR="00F770F0" w:rsidRPr="007F0FC9" w:rsidRDefault="00BA393B" w:rsidP="3E4E433E">
            <w:pPr>
              <w:jc w:val="center"/>
              <w:rPr>
                <w:rFonts w:ascii="Lato" w:hAnsi="Lato"/>
                <w:b/>
                <w:bCs/>
                <w:sz w:val="22"/>
                <w:szCs w:val="22"/>
              </w:rPr>
            </w:pPr>
            <w:r w:rsidRPr="3E4E433E">
              <w:rPr>
                <w:rFonts w:ascii="Wingdings" w:eastAsia="Wingdings" w:hAnsi="Wingdings" w:cs="Wingdings"/>
                <w:b/>
                <w:bCs/>
                <w:sz w:val="22"/>
                <w:szCs w:val="22"/>
              </w:rPr>
              <w:t></w:t>
            </w:r>
          </w:p>
        </w:tc>
        <w:tc>
          <w:tcPr>
            <w:tcW w:w="1701" w:type="dxa"/>
            <w:shd w:val="clear" w:color="auto" w:fill="auto"/>
          </w:tcPr>
          <w:p w14:paraId="238601FE" w14:textId="77777777" w:rsidR="00F770F0" w:rsidRPr="007F0FC9" w:rsidRDefault="00F770F0" w:rsidP="3E4E433E">
            <w:pPr>
              <w:jc w:val="center"/>
              <w:rPr>
                <w:rFonts w:ascii="Lato" w:hAnsi="Lato"/>
                <w:b/>
                <w:bCs/>
                <w:sz w:val="22"/>
                <w:szCs w:val="22"/>
              </w:rPr>
            </w:pPr>
          </w:p>
        </w:tc>
      </w:tr>
      <w:tr w:rsidR="00F770F0" w:rsidRPr="007F0FC9" w14:paraId="0F3CABC7" w14:textId="77777777" w:rsidTr="3E4E433E">
        <w:tc>
          <w:tcPr>
            <w:tcW w:w="6771" w:type="dxa"/>
            <w:shd w:val="clear" w:color="auto" w:fill="auto"/>
          </w:tcPr>
          <w:p w14:paraId="489DBC78" w14:textId="77777777" w:rsidR="00BA393B" w:rsidRDefault="00BA393B" w:rsidP="00BA393B">
            <w:pPr>
              <w:rPr>
                <w:rFonts w:ascii="Lato" w:hAnsi="Lato"/>
              </w:rPr>
            </w:pPr>
            <w:r>
              <w:rPr>
                <w:rFonts w:ascii="Lato" w:hAnsi="Lato"/>
              </w:rPr>
              <w:t xml:space="preserve">Working within DfE’s clerking competency and governance competency frameworks </w:t>
            </w:r>
          </w:p>
          <w:p w14:paraId="5B08B5D1" w14:textId="77777777" w:rsidR="00F770F0" w:rsidRPr="007F0FC9" w:rsidRDefault="00F770F0" w:rsidP="00994542">
            <w:pPr>
              <w:rPr>
                <w:rFonts w:ascii="Lato" w:hAnsi="Lato"/>
                <w:b/>
                <w:sz w:val="22"/>
                <w:szCs w:val="22"/>
              </w:rPr>
            </w:pPr>
          </w:p>
        </w:tc>
        <w:tc>
          <w:tcPr>
            <w:tcW w:w="1701" w:type="dxa"/>
            <w:shd w:val="clear" w:color="auto" w:fill="auto"/>
          </w:tcPr>
          <w:p w14:paraId="16DEB4AB" w14:textId="77777777" w:rsidR="00F770F0" w:rsidRPr="007F0FC9" w:rsidRDefault="00F770F0" w:rsidP="3E4E433E">
            <w:pPr>
              <w:jc w:val="center"/>
              <w:rPr>
                <w:rFonts w:ascii="Lato" w:hAnsi="Lato"/>
                <w:b/>
                <w:bCs/>
                <w:sz w:val="22"/>
                <w:szCs w:val="22"/>
              </w:rPr>
            </w:pPr>
          </w:p>
        </w:tc>
        <w:tc>
          <w:tcPr>
            <w:tcW w:w="1701" w:type="dxa"/>
            <w:shd w:val="clear" w:color="auto" w:fill="auto"/>
          </w:tcPr>
          <w:p w14:paraId="0AD9C6F4" w14:textId="389D1532" w:rsidR="00F770F0" w:rsidRPr="007F0FC9" w:rsidRDefault="00BA393B" w:rsidP="3E4E433E">
            <w:pPr>
              <w:jc w:val="center"/>
              <w:rPr>
                <w:rFonts w:ascii="Lato" w:hAnsi="Lato"/>
                <w:b/>
                <w:bCs/>
                <w:sz w:val="22"/>
                <w:szCs w:val="22"/>
              </w:rPr>
            </w:pPr>
            <w:r w:rsidRPr="3E4E433E">
              <w:rPr>
                <w:rFonts w:ascii="Wingdings" w:eastAsia="Wingdings" w:hAnsi="Wingdings" w:cs="Wingdings"/>
                <w:b/>
                <w:bCs/>
                <w:sz w:val="22"/>
                <w:szCs w:val="22"/>
              </w:rPr>
              <w:t></w:t>
            </w:r>
          </w:p>
        </w:tc>
      </w:tr>
      <w:tr w:rsidR="00F770F0" w:rsidRPr="007F0FC9" w14:paraId="4B1F511A" w14:textId="77777777" w:rsidTr="3E4E433E">
        <w:tc>
          <w:tcPr>
            <w:tcW w:w="6771" w:type="dxa"/>
            <w:shd w:val="clear" w:color="auto" w:fill="auto"/>
          </w:tcPr>
          <w:p w14:paraId="727A986F" w14:textId="77777777" w:rsidR="00BA393B" w:rsidRDefault="00BA393B" w:rsidP="00BA393B">
            <w:pPr>
              <w:rPr>
                <w:rFonts w:ascii="Lato" w:hAnsi="Lato"/>
              </w:rPr>
            </w:pPr>
            <w:r>
              <w:rPr>
                <w:rFonts w:ascii="Lato" w:hAnsi="Lato"/>
              </w:rPr>
              <w:t>Track record of using sector good practice and collaboration with professional networks to inform and develop services</w:t>
            </w:r>
          </w:p>
          <w:p w14:paraId="65F9C3DC" w14:textId="77777777" w:rsidR="00F770F0" w:rsidRPr="007F0FC9" w:rsidRDefault="00F770F0" w:rsidP="00994542">
            <w:pPr>
              <w:rPr>
                <w:rFonts w:ascii="Lato" w:hAnsi="Lato"/>
                <w:b/>
                <w:sz w:val="22"/>
                <w:szCs w:val="22"/>
              </w:rPr>
            </w:pPr>
          </w:p>
        </w:tc>
        <w:tc>
          <w:tcPr>
            <w:tcW w:w="1701" w:type="dxa"/>
            <w:shd w:val="clear" w:color="auto" w:fill="auto"/>
          </w:tcPr>
          <w:p w14:paraId="5023141B" w14:textId="77777777" w:rsidR="00F770F0" w:rsidRPr="007F0FC9" w:rsidRDefault="00F770F0" w:rsidP="3E4E433E">
            <w:pPr>
              <w:jc w:val="center"/>
              <w:rPr>
                <w:rFonts w:ascii="Lato" w:hAnsi="Lato"/>
                <w:b/>
                <w:bCs/>
                <w:sz w:val="22"/>
                <w:szCs w:val="22"/>
              </w:rPr>
            </w:pPr>
          </w:p>
        </w:tc>
        <w:tc>
          <w:tcPr>
            <w:tcW w:w="1701" w:type="dxa"/>
            <w:shd w:val="clear" w:color="auto" w:fill="auto"/>
          </w:tcPr>
          <w:p w14:paraId="1F3B1409" w14:textId="74AAE65C" w:rsidR="00F770F0" w:rsidRPr="007F0FC9" w:rsidRDefault="0D482A70" w:rsidP="3E4E433E">
            <w:pPr>
              <w:jc w:val="center"/>
              <w:rPr>
                <w:rFonts w:ascii="Lato" w:hAnsi="Lato"/>
                <w:b/>
                <w:bCs/>
                <w:sz w:val="22"/>
                <w:szCs w:val="22"/>
              </w:rPr>
            </w:pPr>
            <w:r w:rsidRPr="3E4E433E">
              <w:rPr>
                <w:rFonts w:ascii="Wingdings" w:eastAsia="Wingdings" w:hAnsi="Wingdings" w:cs="Wingdings"/>
                <w:b/>
                <w:bCs/>
                <w:sz w:val="22"/>
                <w:szCs w:val="22"/>
              </w:rPr>
              <w:t></w:t>
            </w:r>
          </w:p>
        </w:tc>
      </w:tr>
      <w:tr w:rsidR="00F770F0" w:rsidRPr="007F0FC9" w14:paraId="782D5896" w14:textId="77777777" w:rsidTr="3E4E433E">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E4E433E">
        <w:tc>
          <w:tcPr>
            <w:tcW w:w="6771" w:type="dxa"/>
            <w:shd w:val="clear" w:color="auto" w:fill="auto"/>
          </w:tcPr>
          <w:p w14:paraId="28E1ACC2" w14:textId="77777777" w:rsidR="00BA393B" w:rsidRDefault="00BA393B" w:rsidP="00BA393B">
            <w:pPr>
              <w:autoSpaceDE w:val="0"/>
              <w:autoSpaceDN w:val="0"/>
              <w:rPr>
                <w:rFonts w:ascii="Lato" w:hAnsi="Lato" w:cs="Calibri"/>
              </w:rPr>
            </w:pPr>
            <w:r>
              <w:rPr>
                <w:rFonts w:ascii="Lato" w:hAnsi="Lato" w:cs="Calibri"/>
              </w:rPr>
              <w:t>Flexible, adaptable and willing to meet the needs of the Trust</w:t>
            </w:r>
          </w:p>
          <w:p w14:paraId="664355AD" w14:textId="77777777" w:rsidR="00F770F0" w:rsidRPr="007F0FC9" w:rsidRDefault="00F770F0" w:rsidP="00994542">
            <w:pPr>
              <w:rPr>
                <w:rFonts w:ascii="Lato" w:hAnsi="Lato"/>
                <w:b/>
                <w:sz w:val="22"/>
                <w:szCs w:val="22"/>
              </w:rPr>
            </w:pPr>
          </w:p>
        </w:tc>
        <w:tc>
          <w:tcPr>
            <w:tcW w:w="1701" w:type="dxa"/>
            <w:shd w:val="clear" w:color="auto" w:fill="auto"/>
          </w:tcPr>
          <w:p w14:paraId="3E0808C5" w14:textId="74AAE65C" w:rsidR="00F770F0" w:rsidRPr="007F0FC9" w:rsidRDefault="0D9103CF" w:rsidP="3E4E433E">
            <w:pPr>
              <w:jc w:val="center"/>
              <w:rPr>
                <w:rFonts w:ascii="Lato" w:hAnsi="Lato"/>
                <w:b/>
                <w:bCs/>
                <w:sz w:val="22"/>
                <w:szCs w:val="22"/>
              </w:rPr>
            </w:pPr>
            <w:r w:rsidRPr="3E4E433E">
              <w:rPr>
                <w:rFonts w:ascii="Wingdings" w:eastAsia="Wingdings" w:hAnsi="Wingdings" w:cs="Wingdings"/>
                <w:b/>
                <w:bCs/>
                <w:sz w:val="22"/>
                <w:szCs w:val="22"/>
              </w:rPr>
              <w:t></w:t>
            </w:r>
          </w:p>
          <w:p w14:paraId="1A965116" w14:textId="5C6EB543" w:rsidR="00F770F0" w:rsidRPr="007F0FC9" w:rsidRDefault="00F770F0" w:rsidP="3E4E433E">
            <w:pPr>
              <w:jc w:val="center"/>
              <w:rPr>
                <w:rFonts w:ascii="Segoe UI Symbol" w:hAnsi="Segoe UI Symbol" w:cs="Segoe UI Symbol"/>
                <w:color w:val="000000" w:themeColor="text1"/>
                <w:sz w:val="22"/>
                <w:szCs w:val="22"/>
              </w:rPr>
            </w:pP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E4E433E">
        <w:tc>
          <w:tcPr>
            <w:tcW w:w="6771" w:type="dxa"/>
            <w:shd w:val="clear" w:color="auto" w:fill="auto"/>
          </w:tcPr>
          <w:p w14:paraId="01272C88" w14:textId="77777777" w:rsidR="00BA393B" w:rsidRPr="00BC5F92" w:rsidRDefault="00BA393B" w:rsidP="00BA393B">
            <w:pPr>
              <w:autoSpaceDE w:val="0"/>
              <w:autoSpaceDN w:val="0"/>
              <w:rPr>
                <w:rFonts w:ascii="Lato" w:hAnsi="Lato" w:cs="Calibri"/>
              </w:rPr>
            </w:pPr>
            <w:r w:rsidRPr="00BC5F92">
              <w:rPr>
                <w:rFonts w:ascii="Lato" w:hAnsi="Lato" w:cs="Calibri"/>
              </w:rPr>
              <w:t>Confident, conscientious and detail conscious</w:t>
            </w:r>
          </w:p>
          <w:p w14:paraId="1DA6542E" w14:textId="77777777" w:rsidR="00F770F0" w:rsidRPr="007F0FC9" w:rsidRDefault="00F770F0" w:rsidP="00994542">
            <w:pPr>
              <w:rPr>
                <w:rFonts w:ascii="Lato" w:hAnsi="Lato"/>
                <w:b/>
                <w:sz w:val="22"/>
                <w:szCs w:val="22"/>
              </w:rPr>
            </w:pPr>
          </w:p>
        </w:tc>
        <w:tc>
          <w:tcPr>
            <w:tcW w:w="1701" w:type="dxa"/>
            <w:shd w:val="clear" w:color="auto" w:fill="auto"/>
          </w:tcPr>
          <w:p w14:paraId="233DDEE4" w14:textId="74AAE65C" w:rsidR="00F770F0" w:rsidRPr="007F0FC9" w:rsidRDefault="0C5760D3" w:rsidP="3E4E433E">
            <w:pPr>
              <w:jc w:val="center"/>
              <w:rPr>
                <w:rFonts w:ascii="Lato" w:hAnsi="Lato"/>
                <w:b/>
                <w:bCs/>
                <w:sz w:val="22"/>
                <w:szCs w:val="22"/>
              </w:rPr>
            </w:pPr>
            <w:r w:rsidRPr="3E4E433E">
              <w:rPr>
                <w:rFonts w:ascii="Wingdings" w:eastAsia="Wingdings" w:hAnsi="Wingdings" w:cs="Wingdings"/>
                <w:b/>
                <w:bCs/>
                <w:sz w:val="22"/>
                <w:szCs w:val="22"/>
              </w:rPr>
              <w:t></w:t>
            </w:r>
          </w:p>
          <w:p w14:paraId="3041E394" w14:textId="349C86B1" w:rsidR="00F770F0" w:rsidRPr="007F0FC9" w:rsidRDefault="00F770F0" w:rsidP="3E4E433E">
            <w:pPr>
              <w:jc w:val="center"/>
              <w:rPr>
                <w:rFonts w:ascii="Segoe UI Symbol" w:hAnsi="Segoe UI Symbol" w:cs="Segoe UI Symbol"/>
                <w:color w:val="000000" w:themeColor="text1"/>
                <w:sz w:val="22"/>
                <w:szCs w:val="22"/>
              </w:rPr>
            </w:pP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E4E433E">
        <w:tc>
          <w:tcPr>
            <w:tcW w:w="6771" w:type="dxa"/>
            <w:shd w:val="clear" w:color="auto" w:fill="auto"/>
          </w:tcPr>
          <w:p w14:paraId="5390F36F" w14:textId="77777777" w:rsidR="00BA393B" w:rsidRPr="007F75DA" w:rsidRDefault="00BA393B" w:rsidP="00BA393B">
            <w:pPr>
              <w:autoSpaceDE w:val="0"/>
              <w:autoSpaceDN w:val="0"/>
              <w:rPr>
                <w:rFonts w:ascii="Lato" w:hAnsi="Lato" w:cs="Calibri"/>
              </w:rPr>
            </w:pPr>
            <w:r w:rsidRPr="007F75DA">
              <w:rPr>
                <w:rFonts w:ascii="Lato" w:hAnsi="Lato" w:cs="Calibri"/>
              </w:rPr>
              <w:t>Excellent organisational skills</w:t>
            </w:r>
          </w:p>
          <w:p w14:paraId="6E1831B3" w14:textId="77777777" w:rsidR="00F770F0" w:rsidRPr="007F0FC9" w:rsidRDefault="00F770F0" w:rsidP="00994542">
            <w:pPr>
              <w:rPr>
                <w:rFonts w:ascii="Lato" w:hAnsi="Lato"/>
                <w:b/>
                <w:sz w:val="22"/>
                <w:szCs w:val="22"/>
              </w:rPr>
            </w:pPr>
          </w:p>
        </w:tc>
        <w:tc>
          <w:tcPr>
            <w:tcW w:w="1701" w:type="dxa"/>
            <w:shd w:val="clear" w:color="auto" w:fill="auto"/>
          </w:tcPr>
          <w:p w14:paraId="043E7C9E" w14:textId="74AAE65C" w:rsidR="00F770F0" w:rsidRPr="007F0FC9" w:rsidRDefault="54678C4E" w:rsidP="3E4E433E">
            <w:pPr>
              <w:jc w:val="center"/>
              <w:rPr>
                <w:rFonts w:ascii="Lato" w:hAnsi="Lato"/>
                <w:b/>
                <w:bCs/>
                <w:sz w:val="22"/>
                <w:szCs w:val="22"/>
              </w:rPr>
            </w:pPr>
            <w:r w:rsidRPr="3E4E433E">
              <w:rPr>
                <w:rFonts w:ascii="Wingdings" w:eastAsia="Wingdings" w:hAnsi="Wingdings" w:cs="Wingdings"/>
                <w:b/>
                <w:bCs/>
                <w:sz w:val="22"/>
                <w:szCs w:val="22"/>
              </w:rPr>
              <w:t></w:t>
            </w:r>
          </w:p>
          <w:p w14:paraId="54E11D2A" w14:textId="1D056A92" w:rsidR="00F770F0" w:rsidRPr="007F0FC9" w:rsidRDefault="00F770F0" w:rsidP="3E4E433E">
            <w:pPr>
              <w:jc w:val="center"/>
              <w:rPr>
                <w:rFonts w:ascii="Segoe UI Symbol" w:hAnsi="Segoe UI Symbol" w:cs="Segoe UI Symbol"/>
                <w:color w:val="000000" w:themeColor="text1"/>
                <w:sz w:val="22"/>
                <w:szCs w:val="22"/>
              </w:rPr>
            </w:pP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E4E433E">
        <w:tc>
          <w:tcPr>
            <w:tcW w:w="6771" w:type="dxa"/>
            <w:shd w:val="clear" w:color="auto" w:fill="auto"/>
          </w:tcPr>
          <w:p w14:paraId="7936AF00" w14:textId="77777777" w:rsidR="00BA393B" w:rsidRPr="007F75DA" w:rsidRDefault="00BA393B" w:rsidP="00BA393B">
            <w:pPr>
              <w:autoSpaceDE w:val="0"/>
              <w:autoSpaceDN w:val="0"/>
              <w:rPr>
                <w:rFonts w:ascii="Lato" w:hAnsi="Lato" w:cs="Calibri"/>
              </w:rPr>
            </w:pPr>
            <w:r w:rsidRPr="007F75DA">
              <w:rPr>
                <w:rFonts w:ascii="Lato" w:hAnsi="Lato" w:cs="Calibri"/>
              </w:rPr>
              <w:t>Highly developed interpersonal skills</w:t>
            </w:r>
          </w:p>
          <w:p w14:paraId="62431CDC" w14:textId="77777777" w:rsidR="00F770F0" w:rsidRPr="007F0FC9" w:rsidRDefault="00F770F0" w:rsidP="00994542">
            <w:pPr>
              <w:rPr>
                <w:rFonts w:ascii="Lato" w:hAnsi="Lato"/>
                <w:b/>
                <w:sz w:val="22"/>
                <w:szCs w:val="22"/>
              </w:rPr>
            </w:pPr>
          </w:p>
        </w:tc>
        <w:tc>
          <w:tcPr>
            <w:tcW w:w="1701" w:type="dxa"/>
            <w:shd w:val="clear" w:color="auto" w:fill="auto"/>
          </w:tcPr>
          <w:p w14:paraId="336A0F18" w14:textId="74AAE65C" w:rsidR="00F770F0" w:rsidRPr="007F0FC9" w:rsidRDefault="3F9BDFB1" w:rsidP="3E4E433E">
            <w:pPr>
              <w:jc w:val="center"/>
              <w:rPr>
                <w:rFonts w:ascii="Lato" w:hAnsi="Lato"/>
                <w:b/>
                <w:bCs/>
                <w:sz w:val="22"/>
                <w:szCs w:val="22"/>
              </w:rPr>
            </w:pPr>
            <w:r w:rsidRPr="3E4E433E">
              <w:rPr>
                <w:rFonts w:ascii="Wingdings" w:eastAsia="Wingdings" w:hAnsi="Wingdings" w:cs="Wingdings"/>
                <w:b/>
                <w:bCs/>
                <w:sz w:val="22"/>
                <w:szCs w:val="22"/>
              </w:rPr>
              <w:t></w:t>
            </w:r>
          </w:p>
          <w:p w14:paraId="49E398E2" w14:textId="4AFF7A2A" w:rsidR="00F770F0" w:rsidRPr="007F0FC9" w:rsidRDefault="00F770F0" w:rsidP="3E4E433E">
            <w:pPr>
              <w:jc w:val="center"/>
              <w:rPr>
                <w:rFonts w:ascii="Segoe UI Symbol" w:hAnsi="Segoe UI Symbol" w:cs="Segoe UI Symbol"/>
                <w:color w:val="000000" w:themeColor="text1"/>
                <w:sz w:val="22"/>
                <w:szCs w:val="22"/>
              </w:rPr>
            </w:pP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E4E433E">
        <w:tc>
          <w:tcPr>
            <w:tcW w:w="6771" w:type="dxa"/>
            <w:shd w:val="clear" w:color="auto" w:fill="auto"/>
          </w:tcPr>
          <w:p w14:paraId="09B42F9B" w14:textId="77777777" w:rsidR="00BA393B" w:rsidRDefault="00BA393B" w:rsidP="00BA393B">
            <w:pPr>
              <w:autoSpaceDE w:val="0"/>
              <w:autoSpaceDN w:val="0"/>
              <w:rPr>
                <w:rFonts w:ascii="Lato" w:hAnsi="Lato" w:cs="Calibri"/>
              </w:rPr>
            </w:pPr>
            <w:r w:rsidRPr="007F75DA">
              <w:rPr>
                <w:rFonts w:ascii="Lato" w:hAnsi="Lato" w:cs="Calibri"/>
              </w:rPr>
              <w:t>Ability to work under pressure with limited supervision</w:t>
            </w:r>
          </w:p>
          <w:p w14:paraId="384BA73E" w14:textId="77777777" w:rsidR="00F770F0" w:rsidRPr="007F0FC9" w:rsidRDefault="00F770F0" w:rsidP="00994542">
            <w:pPr>
              <w:rPr>
                <w:rFonts w:ascii="Lato" w:hAnsi="Lato"/>
                <w:b/>
                <w:sz w:val="22"/>
                <w:szCs w:val="22"/>
              </w:rPr>
            </w:pPr>
          </w:p>
        </w:tc>
        <w:tc>
          <w:tcPr>
            <w:tcW w:w="1701" w:type="dxa"/>
            <w:shd w:val="clear" w:color="auto" w:fill="auto"/>
          </w:tcPr>
          <w:p w14:paraId="22E5FA9B" w14:textId="74AAE65C" w:rsidR="00F770F0" w:rsidRPr="007F0FC9" w:rsidRDefault="1D391A84" w:rsidP="3E4E433E">
            <w:pPr>
              <w:jc w:val="center"/>
              <w:rPr>
                <w:rFonts w:ascii="Lato" w:hAnsi="Lato"/>
                <w:b/>
                <w:bCs/>
                <w:sz w:val="22"/>
                <w:szCs w:val="22"/>
              </w:rPr>
            </w:pPr>
            <w:r w:rsidRPr="3E4E433E">
              <w:rPr>
                <w:rFonts w:ascii="Wingdings" w:eastAsia="Wingdings" w:hAnsi="Wingdings" w:cs="Wingdings"/>
                <w:b/>
                <w:bCs/>
                <w:sz w:val="22"/>
                <w:szCs w:val="22"/>
              </w:rPr>
              <w:t></w:t>
            </w:r>
          </w:p>
          <w:p w14:paraId="34B3F2EB" w14:textId="59DD278B" w:rsidR="00F770F0" w:rsidRPr="007F0FC9" w:rsidRDefault="00F770F0" w:rsidP="3E4E433E">
            <w:pPr>
              <w:jc w:val="center"/>
              <w:rPr>
                <w:rFonts w:ascii="Segoe UI Symbol" w:hAnsi="Segoe UI Symbol" w:cs="Segoe UI Symbol"/>
                <w:color w:val="000000" w:themeColor="text1"/>
                <w:sz w:val="22"/>
                <w:szCs w:val="22"/>
              </w:rPr>
            </w:pP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BA393B" w:rsidRPr="007F0FC9" w14:paraId="7C7E26EB" w14:textId="77777777" w:rsidTr="3E4E433E">
        <w:tc>
          <w:tcPr>
            <w:tcW w:w="6771" w:type="dxa"/>
            <w:shd w:val="clear" w:color="auto" w:fill="auto"/>
          </w:tcPr>
          <w:p w14:paraId="26F10E40" w14:textId="1065709F" w:rsidR="00BA393B" w:rsidRDefault="00BA393B" w:rsidP="00BA393B">
            <w:pPr>
              <w:autoSpaceDE w:val="0"/>
              <w:autoSpaceDN w:val="0"/>
              <w:rPr>
                <w:rFonts w:ascii="Lato" w:hAnsi="Lato"/>
              </w:rPr>
            </w:pPr>
            <w:r w:rsidRPr="3E4E433E">
              <w:rPr>
                <w:rFonts w:ascii="Lato" w:hAnsi="Lato"/>
              </w:rPr>
              <w:t xml:space="preserve">Confidential and discreet in dealing with sensitive matters and collaborative </w:t>
            </w:r>
            <w:r w:rsidR="2105DCD0" w:rsidRPr="3E4E433E">
              <w:rPr>
                <w:rFonts w:ascii="Lato" w:hAnsi="Lato"/>
              </w:rPr>
              <w:t>working with</w:t>
            </w:r>
            <w:r w:rsidRPr="3E4E433E">
              <w:rPr>
                <w:rFonts w:ascii="Lato" w:hAnsi="Lato"/>
              </w:rPr>
              <w:t xml:space="preserve"> executive leaders</w:t>
            </w:r>
          </w:p>
          <w:p w14:paraId="70240227" w14:textId="77777777" w:rsidR="00BA393B" w:rsidRPr="007F75DA" w:rsidRDefault="00BA393B" w:rsidP="00BA393B">
            <w:pPr>
              <w:autoSpaceDE w:val="0"/>
              <w:autoSpaceDN w:val="0"/>
              <w:ind w:left="19"/>
              <w:rPr>
                <w:rFonts w:ascii="Lato" w:hAnsi="Lato" w:cs="Calibri"/>
              </w:rPr>
            </w:pPr>
          </w:p>
        </w:tc>
        <w:tc>
          <w:tcPr>
            <w:tcW w:w="1701" w:type="dxa"/>
            <w:shd w:val="clear" w:color="auto" w:fill="auto"/>
          </w:tcPr>
          <w:p w14:paraId="554944AF" w14:textId="74AAE65C" w:rsidR="00BA393B" w:rsidRPr="007F0FC9" w:rsidRDefault="7DDEDAD4" w:rsidP="3E4E433E">
            <w:pPr>
              <w:jc w:val="center"/>
              <w:rPr>
                <w:rFonts w:ascii="Lato" w:hAnsi="Lato"/>
                <w:b/>
                <w:bCs/>
                <w:sz w:val="22"/>
                <w:szCs w:val="22"/>
              </w:rPr>
            </w:pPr>
            <w:r w:rsidRPr="3E4E433E">
              <w:rPr>
                <w:rFonts w:ascii="Wingdings" w:eastAsia="Wingdings" w:hAnsi="Wingdings" w:cs="Wingdings"/>
                <w:b/>
                <w:bCs/>
                <w:sz w:val="22"/>
                <w:szCs w:val="22"/>
              </w:rPr>
              <w:t></w:t>
            </w:r>
          </w:p>
          <w:p w14:paraId="3073978B" w14:textId="31FAA1EA" w:rsidR="00BA393B" w:rsidRPr="007F0FC9" w:rsidRDefault="00BA393B" w:rsidP="3E4E433E">
            <w:pPr>
              <w:jc w:val="center"/>
              <w:rPr>
                <w:rFonts w:ascii="Segoe UI Symbol" w:hAnsi="Segoe UI Symbol" w:cs="Segoe UI Symbol"/>
                <w:color w:val="000000" w:themeColor="text1"/>
                <w:sz w:val="22"/>
                <w:szCs w:val="22"/>
              </w:rPr>
            </w:pPr>
          </w:p>
        </w:tc>
        <w:tc>
          <w:tcPr>
            <w:tcW w:w="1701" w:type="dxa"/>
            <w:shd w:val="clear" w:color="auto" w:fill="auto"/>
          </w:tcPr>
          <w:p w14:paraId="5D896F42" w14:textId="77777777" w:rsidR="00BA393B" w:rsidRPr="007F0FC9" w:rsidRDefault="00BA393B" w:rsidP="00994542">
            <w:pPr>
              <w:rPr>
                <w:rFonts w:ascii="Lato" w:hAnsi="Lato"/>
                <w:b/>
                <w:sz w:val="22"/>
                <w:szCs w:val="22"/>
              </w:rPr>
            </w:pPr>
          </w:p>
        </w:tc>
      </w:tr>
      <w:tr w:rsidR="00BA393B" w:rsidRPr="007F0FC9" w14:paraId="14FC2DF1" w14:textId="77777777" w:rsidTr="3E4E433E">
        <w:tc>
          <w:tcPr>
            <w:tcW w:w="6771" w:type="dxa"/>
            <w:shd w:val="clear" w:color="auto" w:fill="auto"/>
          </w:tcPr>
          <w:p w14:paraId="2B96A415" w14:textId="77777777" w:rsidR="00BA393B" w:rsidRDefault="00BA393B" w:rsidP="00BA393B">
            <w:pPr>
              <w:autoSpaceDE w:val="0"/>
              <w:autoSpaceDN w:val="0"/>
              <w:rPr>
                <w:rFonts w:ascii="Lato" w:hAnsi="Lato"/>
              </w:rPr>
            </w:pPr>
            <w:r w:rsidRPr="007F75DA">
              <w:rPr>
                <w:rFonts w:ascii="Lato" w:hAnsi="Lato"/>
              </w:rPr>
              <w:t xml:space="preserve">Interest in, and commitment to the </w:t>
            </w:r>
            <w:r>
              <w:rPr>
                <w:rFonts w:ascii="Lato" w:hAnsi="Lato"/>
              </w:rPr>
              <w:t>Trust</w:t>
            </w:r>
            <w:r w:rsidRPr="007F75DA">
              <w:rPr>
                <w:rFonts w:ascii="Lato" w:hAnsi="Lato"/>
              </w:rPr>
              <w:t xml:space="preserve"> as a community.</w:t>
            </w:r>
          </w:p>
          <w:p w14:paraId="62061C78" w14:textId="0053D81E" w:rsidR="00BA393B" w:rsidRPr="007F75DA" w:rsidRDefault="00BA393B" w:rsidP="00BA393B">
            <w:pPr>
              <w:autoSpaceDE w:val="0"/>
              <w:autoSpaceDN w:val="0"/>
              <w:rPr>
                <w:rFonts w:ascii="Lato" w:hAnsi="Lato" w:cs="Calibri"/>
              </w:rPr>
            </w:pPr>
          </w:p>
        </w:tc>
        <w:tc>
          <w:tcPr>
            <w:tcW w:w="1701" w:type="dxa"/>
            <w:shd w:val="clear" w:color="auto" w:fill="auto"/>
          </w:tcPr>
          <w:p w14:paraId="1F7F1092" w14:textId="3A21AF8D" w:rsidR="00BA393B" w:rsidRPr="007F0FC9" w:rsidRDefault="00BA393B" w:rsidP="3E4E433E">
            <w:pPr>
              <w:jc w:val="center"/>
              <w:rPr>
                <w:rFonts w:ascii="Segoe UI Symbol" w:hAnsi="Segoe UI Symbol" w:cs="Segoe UI Symbol"/>
                <w:color w:val="000000" w:themeColor="text1"/>
                <w:sz w:val="22"/>
                <w:szCs w:val="22"/>
                <w:highlight w:val="yellow"/>
              </w:rPr>
            </w:pPr>
          </w:p>
        </w:tc>
        <w:tc>
          <w:tcPr>
            <w:tcW w:w="1701" w:type="dxa"/>
            <w:shd w:val="clear" w:color="auto" w:fill="auto"/>
          </w:tcPr>
          <w:p w14:paraId="6B7973BD" w14:textId="74AAE65C" w:rsidR="00BA393B" w:rsidRPr="007F0FC9" w:rsidRDefault="62891B18" w:rsidP="3E4E433E">
            <w:pPr>
              <w:jc w:val="center"/>
              <w:rPr>
                <w:rFonts w:ascii="Lato" w:hAnsi="Lato"/>
                <w:b/>
                <w:bCs/>
                <w:sz w:val="22"/>
                <w:szCs w:val="22"/>
              </w:rPr>
            </w:pPr>
            <w:r w:rsidRPr="3E4E433E">
              <w:rPr>
                <w:rFonts w:ascii="Wingdings" w:eastAsia="Wingdings" w:hAnsi="Wingdings" w:cs="Wingdings"/>
                <w:b/>
                <w:bCs/>
                <w:sz w:val="22"/>
                <w:szCs w:val="22"/>
              </w:rPr>
              <w:t></w:t>
            </w:r>
          </w:p>
          <w:p w14:paraId="68AB76DF" w14:textId="662CFEB3" w:rsidR="00BA393B" w:rsidRPr="007F0FC9" w:rsidRDefault="00BA393B" w:rsidP="3E4E433E">
            <w:pPr>
              <w:rPr>
                <w:rFonts w:ascii="Lato" w:hAnsi="Lato"/>
                <w:b/>
                <w:bCs/>
                <w:sz w:val="22"/>
                <w:szCs w:val="22"/>
              </w:rPr>
            </w:pPr>
          </w:p>
        </w:tc>
      </w:tr>
      <w:tr w:rsidR="00F770F0" w:rsidRPr="007F0FC9" w14:paraId="03D8BD03" w14:textId="77777777" w:rsidTr="3E4E433E">
        <w:tc>
          <w:tcPr>
            <w:tcW w:w="6771" w:type="dxa"/>
            <w:shd w:val="clear" w:color="auto" w:fill="auto"/>
          </w:tcPr>
          <w:p w14:paraId="403BC5B4" w14:textId="77777777" w:rsidR="00F770F0" w:rsidRDefault="00F770F0" w:rsidP="00994542">
            <w:pPr>
              <w:rPr>
                <w:rFonts w:ascii="Lato" w:hAnsi="Lato" w:cs="Arial"/>
                <w:color w:val="000000"/>
                <w:sz w:val="22"/>
                <w:szCs w:val="22"/>
              </w:rPr>
            </w:pPr>
            <w:r w:rsidRPr="007F0FC9">
              <w:rPr>
                <w:rFonts w:ascii="Lato" w:hAnsi="Lato" w:cs="Arial"/>
                <w:color w:val="000000"/>
                <w:sz w:val="22"/>
                <w:szCs w:val="22"/>
              </w:rPr>
              <w:t>A commitment to child protection and safeguarding.</w:t>
            </w:r>
          </w:p>
          <w:p w14:paraId="03C11F6E" w14:textId="27B0AF24" w:rsidR="00BA393B" w:rsidRPr="007F0FC9" w:rsidRDefault="00BA393B" w:rsidP="00994542">
            <w:pPr>
              <w:rPr>
                <w:rFonts w:ascii="Lato" w:hAnsi="Lato"/>
                <w:b/>
                <w:sz w:val="22"/>
                <w:szCs w:val="22"/>
              </w:rPr>
            </w:pPr>
          </w:p>
        </w:tc>
        <w:tc>
          <w:tcPr>
            <w:tcW w:w="1701" w:type="dxa"/>
            <w:shd w:val="clear" w:color="auto" w:fill="auto"/>
          </w:tcPr>
          <w:p w14:paraId="58024EEF" w14:textId="74AAE65C" w:rsidR="00F770F0" w:rsidRPr="007F0FC9" w:rsidRDefault="521B432B" w:rsidP="3E4E433E">
            <w:pPr>
              <w:jc w:val="center"/>
              <w:rPr>
                <w:rFonts w:ascii="Lato" w:hAnsi="Lato"/>
                <w:b/>
                <w:bCs/>
                <w:sz w:val="22"/>
                <w:szCs w:val="22"/>
              </w:rPr>
            </w:pPr>
            <w:r w:rsidRPr="3E4E433E">
              <w:rPr>
                <w:rFonts w:ascii="Wingdings" w:eastAsia="Wingdings" w:hAnsi="Wingdings" w:cs="Wingdings"/>
                <w:b/>
                <w:bCs/>
                <w:sz w:val="22"/>
                <w:szCs w:val="22"/>
              </w:rPr>
              <w:t></w:t>
            </w:r>
          </w:p>
          <w:p w14:paraId="0B4020A7" w14:textId="17C87093" w:rsidR="00F770F0" w:rsidRPr="007F0FC9" w:rsidRDefault="00F770F0" w:rsidP="3E4E433E">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F770F0" w:rsidRPr="007F0FC9" w14:paraId="2503F53E" w14:textId="77777777" w:rsidTr="3E4E433E">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E4E433E">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E4E433E">
        <w:tc>
          <w:tcPr>
            <w:tcW w:w="6771" w:type="dxa"/>
            <w:shd w:val="clear" w:color="auto" w:fill="auto"/>
          </w:tcPr>
          <w:p w14:paraId="5EE750A3" w14:textId="77777777" w:rsidR="00F770F0"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p w14:paraId="02EE48E6" w14:textId="49B925AE" w:rsidR="00BA393B" w:rsidRPr="007F0FC9" w:rsidRDefault="00BA393B" w:rsidP="00526FAD">
            <w:pPr>
              <w:rPr>
                <w:rFonts w:ascii="Lato" w:hAnsi="Lato"/>
                <w:sz w:val="22"/>
                <w:szCs w:val="22"/>
              </w:rPr>
            </w:pP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E4E433E">
        <w:tc>
          <w:tcPr>
            <w:tcW w:w="6771" w:type="dxa"/>
            <w:shd w:val="clear" w:color="auto" w:fill="auto"/>
          </w:tcPr>
          <w:p w14:paraId="2B5FA2D9" w14:textId="77777777" w:rsidR="00F770F0"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Childrens Barred List check.</w:t>
            </w:r>
          </w:p>
          <w:p w14:paraId="1335D790" w14:textId="11E8CF26" w:rsidR="00BA393B" w:rsidRPr="007F0FC9" w:rsidRDefault="00BA393B" w:rsidP="00526FAD">
            <w:pPr>
              <w:rPr>
                <w:rFonts w:ascii="Lato" w:hAnsi="Lato"/>
                <w:sz w:val="22"/>
                <w:szCs w:val="22"/>
              </w:rPr>
            </w:pP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E4E433E">
        <w:tc>
          <w:tcPr>
            <w:tcW w:w="6771" w:type="dxa"/>
            <w:shd w:val="clear" w:color="auto" w:fill="auto"/>
          </w:tcPr>
          <w:p w14:paraId="73668B9B" w14:textId="77777777" w:rsidR="00F770F0" w:rsidRDefault="00F770F0" w:rsidP="00526FAD">
            <w:pPr>
              <w:rPr>
                <w:rFonts w:ascii="Lato" w:hAnsi="Lato"/>
                <w:sz w:val="22"/>
                <w:szCs w:val="22"/>
              </w:rPr>
            </w:pPr>
            <w:r w:rsidRPr="007F0FC9">
              <w:rPr>
                <w:rFonts w:ascii="Lato" w:hAnsi="Lato"/>
                <w:sz w:val="22"/>
                <w:szCs w:val="22"/>
              </w:rPr>
              <w:lastRenderedPageBreak/>
              <w:t>Medical clearance.</w:t>
            </w:r>
          </w:p>
          <w:p w14:paraId="21B6C2A1" w14:textId="317F1572" w:rsidR="00BA393B" w:rsidRPr="007F0FC9" w:rsidRDefault="00BA393B" w:rsidP="00526FAD">
            <w:pPr>
              <w:rPr>
                <w:rFonts w:ascii="Lato" w:hAnsi="Lato"/>
                <w:sz w:val="22"/>
                <w:szCs w:val="22"/>
              </w:rPr>
            </w:pP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E4E433E">
        <w:tc>
          <w:tcPr>
            <w:tcW w:w="6771" w:type="dxa"/>
            <w:shd w:val="clear" w:color="auto" w:fill="auto"/>
          </w:tcPr>
          <w:p w14:paraId="54D37E71" w14:textId="77777777" w:rsidR="00F770F0" w:rsidRDefault="00F770F0" w:rsidP="00526FAD">
            <w:pPr>
              <w:rPr>
                <w:rFonts w:ascii="Lato" w:hAnsi="Lato"/>
                <w:sz w:val="22"/>
                <w:szCs w:val="22"/>
              </w:rPr>
            </w:pPr>
            <w:r w:rsidRPr="007F0FC9">
              <w:rPr>
                <w:rFonts w:ascii="Lato" w:hAnsi="Lato"/>
                <w:sz w:val="22"/>
                <w:szCs w:val="22"/>
              </w:rPr>
              <w:t>Minimum of 2 references which are satisfactory to the Trust.</w:t>
            </w:r>
          </w:p>
          <w:p w14:paraId="41DA30EE" w14:textId="090D0DB5" w:rsidR="00BA393B" w:rsidRPr="007F0FC9" w:rsidRDefault="00BA393B" w:rsidP="00526FAD">
            <w:pPr>
              <w:rPr>
                <w:rFonts w:ascii="Lato" w:hAnsi="Lato"/>
                <w:sz w:val="22"/>
                <w:szCs w:val="22"/>
              </w:rPr>
            </w:pP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E4E433E">
        <w:tc>
          <w:tcPr>
            <w:tcW w:w="6771" w:type="dxa"/>
            <w:shd w:val="clear" w:color="auto" w:fill="auto"/>
          </w:tcPr>
          <w:p w14:paraId="46262D32" w14:textId="77777777" w:rsidR="00F770F0" w:rsidRDefault="00F770F0" w:rsidP="00526FAD">
            <w:pPr>
              <w:rPr>
                <w:rFonts w:ascii="Lato" w:hAnsi="Lato"/>
                <w:sz w:val="22"/>
                <w:szCs w:val="22"/>
              </w:rPr>
            </w:pPr>
            <w:r w:rsidRPr="007F0FC9">
              <w:rPr>
                <w:rFonts w:ascii="Lato" w:hAnsi="Lato"/>
                <w:sz w:val="22"/>
                <w:szCs w:val="22"/>
              </w:rPr>
              <w:t>Evidence of qualification certificates.</w:t>
            </w:r>
          </w:p>
          <w:p w14:paraId="2803F4E6" w14:textId="5A4C8F66" w:rsidR="00BA393B" w:rsidRPr="007F0FC9" w:rsidRDefault="00BA393B" w:rsidP="00526FAD">
            <w:pPr>
              <w:rPr>
                <w:rFonts w:ascii="Lato" w:hAnsi="Lato"/>
                <w:sz w:val="22"/>
                <w:szCs w:val="22"/>
              </w:rPr>
            </w:pP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E4E433E">
        <w:tc>
          <w:tcPr>
            <w:tcW w:w="6771" w:type="dxa"/>
            <w:shd w:val="clear" w:color="auto" w:fill="auto"/>
          </w:tcPr>
          <w:p w14:paraId="5680E7A7" w14:textId="77777777" w:rsidR="00F770F0" w:rsidRDefault="00F770F0" w:rsidP="00526FAD">
            <w:pPr>
              <w:rPr>
                <w:rFonts w:ascii="Lato" w:hAnsi="Lato"/>
                <w:sz w:val="22"/>
                <w:szCs w:val="22"/>
              </w:rPr>
            </w:pPr>
            <w:r w:rsidRPr="007F0FC9">
              <w:rPr>
                <w:rFonts w:ascii="Lato" w:hAnsi="Lato"/>
                <w:sz w:val="22"/>
                <w:szCs w:val="22"/>
              </w:rPr>
              <w:t>Evidence of Right to work in the UK.</w:t>
            </w:r>
          </w:p>
          <w:p w14:paraId="6DCA50E4" w14:textId="14608953" w:rsidR="00BA393B" w:rsidRPr="007F0FC9" w:rsidRDefault="00BA393B" w:rsidP="00526FAD">
            <w:pPr>
              <w:rPr>
                <w:rFonts w:ascii="Lato" w:hAnsi="Lato"/>
                <w:sz w:val="22"/>
                <w:szCs w:val="22"/>
              </w:rPr>
            </w:pP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E4E433E">
        <w:tc>
          <w:tcPr>
            <w:tcW w:w="6771" w:type="dxa"/>
            <w:shd w:val="clear" w:color="auto" w:fill="auto"/>
          </w:tcPr>
          <w:p w14:paraId="7C988900" w14:textId="77777777" w:rsidR="00F770F0" w:rsidRDefault="00F770F0" w:rsidP="3C10D6FD">
            <w:pPr>
              <w:rPr>
                <w:rFonts w:ascii="Lato" w:hAnsi="Lato"/>
                <w:sz w:val="22"/>
                <w:szCs w:val="22"/>
              </w:rPr>
            </w:pPr>
            <w:r w:rsidRPr="00BA393B">
              <w:rPr>
                <w:rFonts w:ascii="Lato" w:hAnsi="Lato"/>
                <w:sz w:val="22"/>
                <w:szCs w:val="22"/>
              </w:rPr>
              <w:t>Full UK driving license and access to a car during working hours.</w:t>
            </w:r>
          </w:p>
          <w:p w14:paraId="2FA623B5" w14:textId="35579915" w:rsidR="00BA393B" w:rsidRPr="00BA393B" w:rsidRDefault="00BA393B" w:rsidP="3C10D6FD">
            <w:pPr>
              <w:rPr>
                <w:rFonts w:ascii="Lato" w:hAnsi="Lato"/>
                <w:sz w:val="22"/>
                <w:szCs w:val="22"/>
              </w:rPr>
            </w:pPr>
          </w:p>
        </w:tc>
        <w:tc>
          <w:tcPr>
            <w:tcW w:w="1701" w:type="dxa"/>
            <w:shd w:val="clear" w:color="auto" w:fill="auto"/>
          </w:tcPr>
          <w:p w14:paraId="13CB595B" w14:textId="77777777" w:rsidR="00F770F0" w:rsidRPr="00BA393B" w:rsidRDefault="00F770F0" w:rsidP="3C10D6FD">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BA393B" w:rsidRDefault="00F770F0" w:rsidP="3C10D6FD">
            <w:pPr>
              <w:jc w:val="center"/>
              <w:rPr>
                <w:rFonts w:ascii="Lato" w:hAnsi="Lato"/>
                <w:b/>
                <w:bCs/>
                <w:color w:val="FFFFFF"/>
                <w:sz w:val="22"/>
                <w:szCs w:val="22"/>
              </w:rPr>
            </w:pPr>
            <w:r w:rsidRPr="00BA393B">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default" r:id="rId12"/>
      <w:footerReference w:type="default" r:id="rId13"/>
      <w:headerReference w:type="first" r:id="rId14"/>
      <w:footerReference w:type="first" r:id="rId15"/>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E5C2" w14:textId="77777777" w:rsidR="00364949" w:rsidRDefault="00364949" w:rsidP="00BF1111">
      <w:r>
        <w:separator/>
      </w:r>
    </w:p>
  </w:endnote>
  <w:endnote w:type="continuationSeparator" w:id="0">
    <w:p w14:paraId="7B6DFA79" w14:textId="77777777" w:rsidR="00364949" w:rsidRDefault="00364949"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0B0CA6BC"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BA393B">
      <w:rPr>
        <w:rFonts w:ascii="Lato" w:hAnsi="Lato" w:cs="Arial"/>
        <w:color w:val="000000"/>
        <w:sz w:val="20"/>
        <w:szCs w:val="20"/>
      </w:rPr>
      <w:t>ersion: 2</w:t>
    </w:r>
  </w:p>
  <w:p w14:paraId="71F9AAF3" w14:textId="6D0977EA" w:rsidR="00615EA2" w:rsidRPr="00542B73" w:rsidRDefault="0072333A" w:rsidP="00615EA2">
    <w:pPr>
      <w:pStyle w:val="NormalWeb"/>
      <w:spacing w:before="0" w:beforeAutospacing="0" w:after="0" w:afterAutospacing="0"/>
      <w:rPr>
        <w:rFonts w:ascii="Lato" w:hAnsi="Lato"/>
      </w:rPr>
    </w:pPr>
    <w:r>
      <w:rPr>
        <w:rFonts w:ascii="Lato" w:hAnsi="Lato" w:cs="Arial"/>
        <w:color w:val="000000"/>
        <w:sz w:val="20"/>
        <w:szCs w:val="20"/>
      </w:rPr>
      <w:t xml:space="preserve">Original </w:t>
    </w:r>
    <w:r w:rsidR="00615EA2" w:rsidRPr="00542B73">
      <w:rPr>
        <w:rFonts w:ascii="Lato" w:hAnsi="Lato" w:cs="Arial"/>
        <w:color w:val="000000"/>
        <w:sz w:val="20"/>
        <w:szCs w:val="20"/>
      </w:rPr>
      <w:t xml:space="preserve">Created: </w:t>
    </w:r>
    <w:r>
      <w:rPr>
        <w:rFonts w:ascii="Lato" w:hAnsi="Lato" w:cs="Arial"/>
        <w:color w:val="000000"/>
        <w:sz w:val="20"/>
        <w:szCs w:val="20"/>
      </w:rPr>
      <w:t>October 2022</w:t>
    </w:r>
    <w:r w:rsidR="00615EA2" w:rsidRPr="00542B73">
      <w:rPr>
        <w:rStyle w:val="apple-tab-span"/>
        <w:rFonts w:ascii="Lato" w:hAnsi="Lato" w:cs="Arial"/>
        <w:color w:val="000000"/>
        <w:sz w:val="20"/>
        <w:szCs w:val="20"/>
      </w:rPr>
      <w:tab/>
    </w:r>
  </w:p>
  <w:p w14:paraId="2CAF5132" w14:textId="7B694FD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BA393B">
      <w:rPr>
        <w:rFonts w:ascii="Lato" w:hAnsi="Lato" w:cs="Arial"/>
        <w:color w:val="000000"/>
        <w:sz w:val="20"/>
        <w:szCs w:val="20"/>
      </w:rPr>
      <w:t>January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86F73">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86F73">
      <w:rPr>
        <w:rFonts w:ascii="Lato" w:hAnsi="Lato"/>
        <w:bCs/>
        <w:noProof/>
        <w:sz w:val="20"/>
      </w:rPr>
      <w:t>7</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4BD5" w14:textId="3F7A71CD" w:rsidR="00BA393B" w:rsidRDefault="00BA393B">
    <w:pPr>
      <w:pStyle w:val="Footer"/>
    </w:pPr>
  </w:p>
  <w:p w14:paraId="59720F76" w14:textId="49EC242A" w:rsidR="00542B73" w:rsidRPr="00615EA2" w:rsidRDefault="00542B73" w:rsidP="00615EA2">
    <w:pPr>
      <w:pStyle w:val="Footer"/>
      <w:rPr>
        <w:rFonts w:ascii="Lato" w:hAnsi="La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28A26" w14:textId="77777777" w:rsidR="00364949" w:rsidRDefault="00364949" w:rsidP="00BF1111">
      <w:r>
        <w:separator/>
      </w:r>
    </w:p>
  </w:footnote>
  <w:footnote w:type="continuationSeparator" w:id="0">
    <w:p w14:paraId="05717A58" w14:textId="77777777" w:rsidR="00364949" w:rsidRDefault="00364949"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3E4E433E" w14:paraId="1B53D890" w14:textId="77777777" w:rsidTr="3E4E433E">
      <w:trPr>
        <w:trHeight w:val="300"/>
      </w:trPr>
      <w:tc>
        <w:tcPr>
          <w:tcW w:w="3360" w:type="dxa"/>
        </w:tcPr>
        <w:p w14:paraId="08969325" w14:textId="05DB032D" w:rsidR="3E4E433E" w:rsidRDefault="3E4E433E" w:rsidP="3E4E433E">
          <w:pPr>
            <w:pStyle w:val="Header"/>
            <w:ind w:left="-115"/>
          </w:pPr>
        </w:p>
      </w:tc>
      <w:tc>
        <w:tcPr>
          <w:tcW w:w="3360" w:type="dxa"/>
        </w:tcPr>
        <w:p w14:paraId="5D5A911A" w14:textId="23DEF856" w:rsidR="3E4E433E" w:rsidRDefault="3E4E433E" w:rsidP="3E4E433E">
          <w:pPr>
            <w:pStyle w:val="Header"/>
            <w:jc w:val="center"/>
          </w:pPr>
        </w:p>
      </w:tc>
      <w:tc>
        <w:tcPr>
          <w:tcW w:w="3360" w:type="dxa"/>
        </w:tcPr>
        <w:p w14:paraId="0E80D827" w14:textId="0AF88575" w:rsidR="3E4E433E" w:rsidRDefault="3E4E433E" w:rsidP="3E4E433E">
          <w:pPr>
            <w:pStyle w:val="Header"/>
            <w:ind w:right="-115"/>
            <w:jc w:val="right"/>
          </w:pPr>
        </w:p>
      </w:tc>
    </w:tr>
  </w:tbl>
  <w:p w14:paraId="3921EDF8" w14:textId="0D7E5D92" w:rsidR="3E4E433E" w:rsidRDefault="3E4E433E" w:rsidP="3E4E4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A316E8"/>
    <w:multiLevelType w:val="hybridMultilevel"/>
    <w:tmpl w:val="FFE6C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9"/>
  </w:num>
  <w:num w:numId="6">
    <w:abstractNumId w:val="15"/>
  </w:num>
  <w:num w:numId="7">
    <w:abstractNumId w:val="23"/>
  </w:num>
  <w:num w:numId="8">
    <w:abstractNumId w:val="28"/>
  </w:num>
  <w:num w:numId="9">
    <w:abstractNumId w:val="27"/>
  </w:num>
  <w:num w:numId="10">
    <w:abstractNumId w:val="30"/>
  </w:num>
  <w:num w:numId="11">
    <w:abstractNumId w:val="7"/>
  </w:num>
  <w:num w:numId="12">
    <w:abstractNumId w:val="17"/>
  </w:num>
  <w:num w:numId="13">
    <w:abstractNumId w:val="20"/>
  </w:num>
  <w:num w:numId="14">
    <w:abstractNumId w:val="19"/>
  </w:num>
  <w:num w:numId="15">
    <w:abstractNumId w:val="3"/>
  </w:num>
  <w:num w:numId="16">
    <w:abstractNumId w:val="24"/>
  </w:num>
  <w:num w:numId="17">
    <w:abstractNumId w:val="31"/>
  </w:num>
  <w:num w:numId="18">
    <w:abstractNumId w:val="18"/>
  </w:num>
  <w:num w:numId="19">
    <w:abstractNumId w:val="4"/>
  </w:num>
  <w:num w:numId="20">
    <w:abstractNumId w:val="5"/>
  </w:num>
  <w:num w:numId="21">
    <w:abstractNumId w:val="26"/>
  </w:num>
  <w:num w:numId="22">
    <w:abstractNumId w:val="1"/>
  </w:num>
  <w:num w:numId="23">
    <w:abstractNumId w:val="13"/>
  </w:num>
  <w:num w:numId="24">
    <w:abstractNumId w:val="16"/>
  </w:num>
  <w:num w:numId="25">
    <w:abstractNumId w:val="25"/>
  </w:num>
  <w:num w:numId="26">
    <w:abstractNumId w:val="11"/>
  </w:num>
  <w:num w:numId="27">
    <w:abstractNumId w:val="21"/>
  </w:num>
  <w:num w:numId="28">
    <w:abstractNumId w:val="0"/>
  </w:num>
  <w:num w:numId="29">
    <w:abstractNumId w:val="2"/>
  </w:num>
  <w:num w:numId="30">
    <w:abstractNumId w:val="6"/>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C2E30"/>
    <w:rsid w:val="001E1D20"/>
    <w:rsid w:val="001F7C20"/>
    <w:rsid w:val="00212055"/>
    <w:rsid w:val="00216E5D"/>
    <w:rsid w:val="0023372D"/>
    <w:rsid w:val="00263093"/>
    <w:rsid w:val="00286B7D"/>
    <w:rsid w:val="002A04E5"/>
    <w:rsid w:val="002E1699"/>
    <w:rsid w:val="00320D20"/>
    <w:rsid w:val="00320E32"/>
    <w:rsid w:val="003235D3"/>
    <w:rsid w:val="003625D2"/>
    <w:rsid w:val="00364949"/>
    <w:rsid w:val="003A610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86F73"/>
    <w:rsid w:val="0059101A"/>
    <w:rsid w:val="005B0E88"/>
    <w:rsid w:val="005F416D"/>
    <w:rsid w:val="00600818"/>
    <w:rsid w:val="00615EA2"/>
    <w:rsid w:val="00617C90"/>
    <w:rsid w:val="0063082B"/>
    <w:rsid w:val="00667B63"/>
    <w:rsid w:val="006915D3"/>
    <w:rsid w:val="006A511B"/>
    <w:rsid w:val="006B47C8"/>
    <w:rsid w:val="006C6F98"/>
    <w:rsid w:val="00706035"/>
    <w:rsid w:val="0072333A"/>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D6894"/>
    <w:rsid w:val="00917C0C"/>
    <w:rsid w:val="00924F47"/>
    <w:rsid w:val="00951445"/>
    <w:rsid w:val="00972CFF"/>
    <w:rsid w:val="00976CA7"/>
    <w:rsid w:val="00994542"/>
    <w:rsid w:val="009B0BD3"/>
    <w:rsid w:val="009D7330"/>
    <w:rsid w:val="009F6236"/>
    <w:rsid w:val="00A15CEA"/>
    <w:rsid w:val="00A25372"/>
    <w:rsid w:val="00A36386"/>
    <w:rsid w:val="00A446C5"/>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A393B"/>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0477A172"/>
    <w:rsid w:val="0C5760D3"/>
    <w:rsid w:val="0D482A70"/>
    <w:rsid w:val="0D76764A"/>
    <w:rsid w:val="0D9103CF"/>
    <w:rsid w:val="1075D922"/>
    <w:rsid w:val="173A175A"/>
    <w:rsid w:val="1B8B155B"/>
    <w:rsid w:val="1B9A651C"/>
    <w:rsid w:val="1C4E8B11"/>
    <w:rsid w:val="1D391A84"/>
    <w:rsid w:val="2105DCD0"/>
    <w:rsid w:val="23EA7FC9"/>
    <w:rsid w:val="2B7BD45A"/>
    <w:rsid w:val="2EB3751C"/>
    <w:rsid w:val="304F457D"/>
    <w:rsid w:val="3337A13A"/>
    <w:rsid w:val="37A1ADB8"/>
    <w:rsid w:val="37BB8571"/>
    <w:rsid w:val="3A1A38F0"/>
    <w:rsid w:val="3AC2E49F"/>
    <w:rsid w:val="3BF2AE13"/>
    <w:rsid w:val="3C10D6FD"/>
    <w:rsid w:val="3E4E433E"/>
    <w:rsid w:val="3F9BDFB1"/>
    <w:rsid w:val="4377B515"/>
    <w:rsid w:val="46137500"/>
    <w:rsid w:val="4B40F2AE"/>
    <w:rsid w:val="4B8CC882"/>
    <w:rsid w:val="520B4D39"/>
    <w:rsid w:val="521B432B"/>
    <w:rsid w:val="522608F3"/>
    <w:rsid w:val="54678C4E"/>
    <w:rsid w:val="566FB2CE"/>
    <w:rsid w:val="60D5D484"/>
    <w:rsid w:val="62891B18"/>
    <w:rsid w:val="63EF2127"/>
    <w:rsid w:val="6444CE18"/>
    <w:rsid w:val="68760C37"/>
    <w:rsid w:val="6DD2D898"/>
    <w:rsid w:val="6F816347"/>
    <w:rsid w:val="78FCC886"/>
    <w:rsid w:val="7DDEDAD4"/>
    <w:rsid w:val="7DE23885"/>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A305-FA60-4C04-8FEC-61F10BD7C127}">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9409d71c-42f0-477d-af79-9a30a0a63eec"/>
    <ds:schemaRef ds:uri="cce7411a-0223-42d7-a768-38c256d7352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CBC346BF-A091-45FB-BD7E-A81B6320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Harker, Rachel</cp:lastModifiedBy>
  <cp:revision>2</cp:revision>
  <cp:lastPrinted>2022-10-26T19:59:00Z</cp:lastPrinted>
  <dcterms:created xsi:type="dcterms:W3CDTF">2024-02-02T09:56:00Z</dcterms:created>
  <dcterms:modified xsi:type="dcterms:W3CDTF">2024-02-02T09:56:00Z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